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lang w:eastAsia="cs-CZ"/>
        </w:rPr>
        <w:t xml:space="preserve"> Výzvy</w:t>
      </w:r>
    </w:p>
    <w:p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0"/>
                <w:em w:val="comma"/>
              </w:rPr>
            </w:pPr>
            <w:r>
              <w:rPr>
                <w:rFonts w:ascii="Arial" w:hAnsi="Arial" w:cs="Arial"/>
                <w:bCs w:val="0"/>
                <w:sz w:val="22"/>
                <w:em w:val="comma"/>
                <w:lang w:bidi="en-US"/>
              </w:rPr>
              <w:t>Výměna písku v pískovištích a úprava dopadových ploch</w:t>
            </w:r>
          </w:p>
        </w:tc>
      </w:tr>
      <w:tr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Telefon/Mobil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 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VÝBĚROVÉHO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Podpis 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>
      <w:pPr>
        <w:rPr>
          <w:rFonts w:ascii="Calibri" w:hAnsi="Calibri"/>
          <w:sz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Zadávací podmínky – příloha č. </w:t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CFA-867E-4A6A-9021-65E8A23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2016-03-16T09:24:00Z</dcterms:created>
  <dcterms:modified xsi:type="dcterms:W3CDTF">2025-03-12T06:40:00Z</dcterms:modified>
</cp:coreProperties>
</file>