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3DB2857A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4C520" w14:textId="463FF047" w:rsidR="00F752C6" w:rsidRDefault="00CB7984" w:rsidP="00CB798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FOTOVOLTAICKÁ ELEKTRÁRNA NA BUDOVĚ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E0F36">
              <w:rPr>
                <w:rFonts w:ascii="Times New Roman" w:eastAsia="Times New Roman" w:hAnsi="Times New Roman" w:cs="Times New Roman"/>
                <w:sz w:val="24"/>
              </w:rPr>
              <w:t>MĚSTSKÉ KNIHOVNY</w:t>
            </w:r>
          </w:p>
          <w:p w14:paraId="2D13797B" w14:textId="5825C934" w:rsidR="00EF64B3" w:rsidRPr="00EF64B3" w:rsidRDefault="00EF64B3" w:rsidP="00CB7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FVE </w:t>
            </w:r>
            <w:r w:rsidR="007E0F36">
              <w:rPr>
                <w:rFonts w:ascii="Times New Roman" w:eastAsia="Times New Roman" w:hAnsi="Times New Roman" w:cs="Times New Roman"/>
                <w:sz w:val="24"/>
                <w:szCs w:val="24"/>
              </w:rPr>
              <w:t>60,50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kWp</w:t>
            </w:r>
          </w:p>
          <w:p w14:paraId="24E1F211" w14:textId="3FE72745" w:rsidR="00EF64B3" w:rsidRPr="00CB7984" w:rsidRDefault="00EF64B3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132E3658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</w:t>
            </w:r>
            <w:r w:rsidR="007E0F36" w:rsidRPr="007E0F36">
              <w:rPr>
                <w:rFonts w:ascii="Times New Roman" w:eastAsia="Times New Roman" w:hAnsi="Times New Roman" w:cs="Times New Roman"/>
                <w:sz w:val="24"/>
              </w:rPr>
              <w:t>Havlíčkovo nám. 253/5, 59101 Žďár nad Sázavou 1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000000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227/1, ,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Číslo 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4D4701C0" w:rsidR="00F752C6" w:rsidRDefault="00F86B51" w:rsidP="00F86B51">
            <w:pPr>
              <w:ind w:right="264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</w:t>
            </w:r>
            <w:r w:rsidR="008710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REALIZAČNÍ DOKUMENTACE STAVBY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A. Průvodní zpráva</w:t>
                  </w:r>
                </w:p>
              </w:tc>
            </w:tr>
            <w:tr w:rsidR="004525E2" w:rsidRPr="004525E2" w14:paraId="13CEDDE8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18A883A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B. 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D.2.4 Stringování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D.2.7 Řezy objektem</w:t>
                  </w:r>
                </w:p>
              </w:tc>
            </w:tr>
            <w:tr w:rsidR="00AC64F5" w:rsidRPr="004525E2" w14:paraId="03EE354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</w:tcPr>
                <w:p w14:paraId="4462233A" w14:textId="3660A020" w:rsidR="00AC64F5" w:rsidRPr="004525E2" w:rsidRDefault="00AC64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Řez konstrukcí FV panelů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05EDB4D3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AC64F5">
                    <w:rPr>
                      <w:rFonts w:eastAsia="Times New Roman"/>
                    </w:rPr>
                    <w:t>9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5AD8269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372168E" w14:textId="3B2D7695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 w:rsidR="00AC64F5">
                    <w:rPr>
                      <w:rFonts w:eastAsia="Times New Roman"/>
                    </w:rPr>
                    <w:t>10</w:t>
                  </w:r>
                  <w:r w:rsidRPr="004525E2">
                    <w:rPr>
                      <w:rFonts w:eastAsia="Times New Roman"/>
                    </w:rPr>
                    <w:t xml:space="preserve"> Protokol o určení vnějších vlivů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17DB951D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468143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F. Technická zpráva PO</w:t>
                  </w:r>
                </w:p>
              </w:tc>
            </w:tr>
            <w:tr w:rsidR="004525E2" w:rsidRPr="004525E2" w14:paraId="7BDFB8B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DF42FE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G. Technická zpráva BOZP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H. Dokladová část</w:t>
                  </w:r>
                </w:p>
              </w:tc>
            </w:tr>
            <w:tr w:rsidR="004525E2" w:rsidRPr="004525E2" w14:paraId="0C16062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F2A128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Závazná stanoviska, stanoviska, rozhodnutí, vyjádření dotčených orgánů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5147AA96" w14:textId="52E485CA" w:rsidR="004525E2" w:rsidRDefault="004525E2"/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10570D"/>
    <w:rsid w:val="001669FF"/>
    <w:rsid w:val="002414F4"/>
    <w:rsid w:val="002E5350"/>
    <w:rsid w:val="004525E2"/>
    <w:rsid w:val="004F1C73"/>
    <w:rsid w:val="004F4ACD"/>
    <w:rsid w:val="004F6573"/>
    <w:rsid w:val="005B3855"/>
    <w:rsid w:val="007E0F36"/>
    <w:rsid w:val="0087101E"/>
    <w:rsid w:val="00965BE2"/>
    <w:rsid w:val="00AC64F5"/>
    <w:rsid w:val="00B97F0C"/>
    <w:rsid w:val="00CB7984"/>
    <w:rsid w:val="00DC55E0"/>
    <w:rsid w:val="00DD7255"/>
    <w:rsid w:val="00DE475F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10</cp:revision>
  <dcterms:created xsi:type="dcterms:W3CDTF">2023-07-09T22:00:00Z</dcterms:created>
  <dcterms:modified xsi:type="dcterms:W3CDTF">2023-08-09T23:00:00Z</dcterms:modified>
</cp:coreProperties>
</file>