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24625" w14:textId="77777777" w:rsidR="00D93A64" w:rsidRDefault="00D93A64">
      <w:pPr>
        <w:spacing w:before="240" w:after="240"/>
        <w:contextualSpacing/>
        <w:jc w:val="center"/>
        <w:rPr>
          <w:rFonts w:ascii="Calibri" w:hAnsi="Calibri"/>
          <w:b/>
          <w:sz w:val="28"/>
          <w:szCs w:val="22"/>
        </w:rPr>
      </w:pPr>
    </w:p>
    <w:p w14:paraId="5909B203" w14:textId="77777777" w:rsidR="00D93A64" w:rsidRDefault="00000000">
      <w:pPr>
        <w:widowControl w:val="0"/>
        <w:spacing w:after="120"/>
        <w:jc w:val="center"/>
        <w:rPr>
          <w:rFonts w:asciiTheme="minorHAnsi" w:eastAsia="Calibri" w:hAnsiTheme="minorHAnsi" w:cstheme="minorHAnsi"/>
          <w:b/>
          <w:bCs/>
          <w:sz w:val="32"/>
          <w:szCs w:val="32"/>
        </w:rPr>
      </w:pPr>
      <w:r>
        <w:rPr>
          <w:rFonts w:asciiTheme="minorHAnsi" w:eastAsia="Calibri" w:hAnsiTheme="minorHAnsi" w:cstheme="minorHAnsi"/>
          <w:b/>
          <w:bCs/>
          <w:sz w:val="32"/>
          <w:szCs w:val="32"/>
        </w:rPr>
        <w:t>DOHODA O VÝKONU FUNKCE ODBORNÉHO ZÁSTUPCE A VEDOUCÍHO LÉKAŘE</w:t>
      </w:r>
    </w:p>
    <w:p w14:paraId="63FEFC3F" w14:textId="77777777" w:rsidR="00D93A64" w:rsidRDefault="00000000">
      <w:pPr>
        <w:widowControl w:val="0"/>
        <w:spacing w:after="120" w:line="276" w:lineRule="auto"/>
        <w:jc w:val="center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uzavřená podle § 1746 odst.2 zákona č. 89/2012 Sb., občanský zákoník, ve znění pozdějších předpisů, </w:t>
      </w:r>
      <w:r>
        <w:rPr>
          <w:rFonts w:asciiTheme="minorHAnsi" w:eastAsia="Calibri" w:hAnsiTheme="minorHAnsi" w:cstheme="minorHAnsi"/>
          <w:i/>
          <w:color w:val="000000" w:themeColor="text1"/>
          <w:sz w:val="22"/>
          <w:szCs w:val="22"/>
          <w:lang w:eastAsia="en-US"/>
        </w:rPr>
        <w:t>(dále jen „</w:t>
      </w:r>
      <w:r>
        <w:rPr>
          <w:rFonts w:asciiTheme="minorHAnsi" w:eastAsia="Calibri" w:hAnsiTheme="minorHAnsi" w:cstheme="minorHAnsi"/>
          <w:b/>
          <w:i/>
          <w:color w:val="000000" w:themeColor="text1"/>
          <w:sz w:val="22"/>
          <w:szCs w:val="22"/>
          <w:lang w:eastAsia="en-US"/>
        </w:rPr>
        <w:t>občanský zákoník</w:t>
      </w:r>
      <w:r>
        <w:rPr>
          <w:rFonts w:asciiTheme="minorHAnsi" w:eastAsia="Calibri" w:hAnsiTheme="minorHAnsi" w:cstheme="minorHAnsi"/>
          <w:i/>
          <w:color w:val="000000" w:themeColor="text1"/>
          <w:sz w:val="22"/>
          <w:szCs w:val="22"/>
          <w:lang w:eastAsia="en-US"/>
        </w:rPr>
        <w:t>“)</w:t>
      </w:r>
      <w:r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mezi smluvními stranami, kterými jsou:</w:t>
      </w:r>
    </w:p>
    <w:p w14:paraId="481FF0F3" w14:textId="77777777" w:rsidR="00D93A64" w:rsidRDefault="00D93A64">
      <w:pPr>
        <w:widowControl w:val="0"/>
        <w:spacing w:after="120"/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14:paraId="0C6B81FB" w14:textId="77777777" w:rsidR="00D93A64" w:rsidRDefault="00000000">
      <w:pPr>
        <w:pStyle w:val="Odstavecseseznamem"/>
        <w:ind w:left="567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Poskytovatel zdravotních služeb</w:t>
      </w:r>
    </w:p>
    <w:p w14:paraId="13663CA6" w14:textId="77777777" w:rsidR="00D93A64" w:rsidRDefault="00D93A64">
      <w:pPr>
        <w:pStyle w:val="Odstavecseseznamem"/>
        <w:ind w:left="567"/>
        <w:rPr>
          <w:rFonts w:ascii="Calibri" w:hAnsi="Calibri"/>
          <w:b/>
          <w:color w:val="000000"/>
          <w:sz w:val="22"/>
          <w:szCs w:val="22"/>
        </w:rPr>
      </w:pPr>
    </w:p>
    <w:p w14:paraId="54316433" w14:textId="77777777" w:rsidR="00D93A64" w:rsidRDefault="00000000">
      <w:pPr>
        <w:pStyle w:val="Odstavecseseznamem"/>
        <w:tabs>
          <w:tab w:val="left" w:pos="4253"/>
        </w:tabs>
        <w:ind w:left="567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sz w:val="22"/>
          <w:szCs w:val="22"/>
          <w:lang w:eastAsia="en-US" w:bidi="en-US"/>
        </w:rPr>
        <w:t>Název:</w:t>
      </w:r>
      <w:r>
        <w:rPr>
          <w:rFonts w:ascii="Calibri" w:hAnsi="Calibri"/>
          <w:b/>
          <w:sz w:val="22"/>
          <w:szCs w:val="22"/>
          <w:lang w:eastAsia="en-US" w:bidi="en-US"/>
        </w:rPr>
        <w:tab/>
      </w:r>
      <w:r>
        <w:rPr>
          <w:rFonts w:asciiTheme="minorHAnsi" w:hAnsiTheme="minorHAnsi" w:cstheme="minorHAnsi"/>
          <w:b/>
          <w:sz w:val="22"/>
          <w:szCs w:val="22"/>
          <w:lang w:bidi="en-US"/>
        </w:rPr>
        <w:t>Poliklinika Žďár nad Sázavou</w:t>
      </w:r>
    </w:p>
    <w:p w14:paraId="05DDE5B4" w14:textId="77777777" w:rsidR="00D93A64" w:rsidRDefault="00000000">
      <w:pPr>
        <w:ind w:left="567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sz w:val="22"/>
        </w:rPr>
        <w:t xml:space="preserve">Sídlo: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Theme="minorHAnsi" w:hAnsiTheme="minorHAnsi" w:cstheme="minorHAnsi"/>
          <w:sz w:val="22"/>
          <w:szCs w:val="22"/>
          <w:lang w:bidi="en-US"/>
        </w:rPr>
        <w:t>Studentská 1699/4, 591 01 Žďár nad Sázavou</w:t>
      </w:r>
    </w:p>
    <w:p w14:paraId="2CC1D075" w14:textId="77777777" w:rsidR="00D93A64" w:rsidRDefault="00000000">
      <w:pPr>
        <w:ind w:left="567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IČO: 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  <w:lang w:bidi="en-US"/>
        </w:rPr>
        <w:t>48899119</w:t>
      </w:r>
    </w:p>
    <w:p w14:paraId="2266D679" w14:textId="77777777" w:rsidR="00D93A64" w:rsidRDefault="00000000">
      <w:pPr>
        <w:ind w:left="567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DIČ: 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  <w:lang w:bidi="en-US"/>
        </w:rPr>
        <w:t>CZ48899119</w:t>
      </w:r>
    </w:p>
    <w:p w14:paraId="5E3E9BC0" w14:textId="77777777" w:rsidR="00D93A64" w:rsidRDefault="00000000">
      <w:pPr>
        <w:ind w:left="567"/>
        <w:rPr>
          <w:rFonts w:ascii="Calibri" w:hAnsi="Calibri"/>
          <w:sz w:val="22"/>
          <w:szCs w:val="22"/>
          <w:lang w:eastAsia="en-US" w:bidi="en-US"/>
        </w:rPr>
      </w:pPr>
      <w:r>
        <w:rPr>
          <w:rFonts w:ascii="Calibri" w:hAnsi="Calibri"/>
          <w:color w:val="000000"/>
          <w:sz w:val="22"/>
          <w:szCs w:val="22"/>
        </w:rPr>
        <w:t xml:space="preserve">Bankovní spojení: 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  <w:lang w:bidi="en-US"/>
        </w:rPr>
        <w:t>222494405/0300</w:t>
      </w:r>
    </w:p>
    <w:p w14:paraId="22E9ECA5" w14:textId="77777777" w:rsidR="00D93A64" w:rsidRDefault="00000000">
      <w:pPr>
        <w:ind w:left="567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Zastoupený: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  <w:lang w:bidi="en-US"/>
        </w:rPr>
        <w:t>Ing. et Ing. Ilonou Komínkovou, ředitelkou</w:t>
      </w:r>
    </w:p>
    <w:p w14:paraId="03282BE5" w14:textId="28E80BBA" w:rsidR="00D93A64" w:rsidRDefault="00000000">
      <w:pPr>
        <w:spacing w:before="120"/>
        <w:ind w:left="567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Kontaktní osoba: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  <w:lang w:bidi="en-US"/>
        </w:rPr>
        <w:t>Ing. et Ing. Ilon</w:t>
      </w:r>
      <w:r w:rsidR="00ED09B6">
        <w:rPr>
          <w:rFonts w:asciiTheme="minorHAnsi" w:hAnsiTheme="minorHAnsi" w:cstheme="minorHAnsi"/>
          <w:sz w:val="22"/>
          <w:szCs w:val="22"/>
          <w:lang w:bidi="en-US"/>
        </w:rPr>
        <w:t>a</w:t>
      </w:r>
      <w:r>
        <w:rPr>
          <w:rFonts w:asciiTheme="minorHAnsi" w:hAnsiTheme="minorHAnsi" w:cstheme="minorHAnsi"/>
          <w:sz w:val="22"/>
          <w:szCs w:val="22"/>
          <w:lang w:bidi="en-US"/>
        </w:rPr>
        <w:t xml:space="preserve"> Komínková, ředitelka</w:t>
      </w:r>
    </w:p>
    <w:p w14:paraId="37289B47" w14:textId="77777777" w:rsidR="00D93A64" w:rsidRDefault="00000000">
      <w:pPr>
        <w:ind w:left="567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Kontakt: 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  <w:lang w:bidi="en-US"/>
        </w:rPr>
        <w:t>566 690 233, kominkova@poliklinikazr.cz</w:t>
      </w:r>
    </w:p>
    <w:p w14:paraId="2BD9B748" w14:textId="77777777" w:rsidR="00D93A64" w:rsidRDefault="00D93A64">
      <w:pPr>
        <w:ind w:left="567"/>
        <w:rPr>
          <w:rFonts w:ascii="Calibri" w:hAnsi="Calibri"/>
          <w:i/>
          <w:color w:val="000000"/>
          <w:sz w:val="22"/>
          <w:szCs w:val="22"/>
        </w:rPr>
      </w:pPr>
    </w:p>
    <w:p w14:paraId="5A591062" w14:textId="77777777" w:rsidR="00D93A64" w:rsidRDefault="00000000">
      <w:pPr>
        <w:ind w:left="567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(dále jen „Poskytovatel“)</w:t>
      </w:r>
    </w:p>
    <w:p w14:paraId="25D66787" w14:textId="77777777" w:rsidR="00D93A64" w:rsidRDefault="00000000">
      <w:pPr>
        <w:spacing w:before="480"/>
        <w:ind w:left="567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</w:t>
      </w:r>
    </w:p>
    <w:p w14:paraId="2D4E7D69" w14:textId="77777777" w:rsidR="00D93A64" w:rsidRDefault="00000000">
      <w:pPr>
        <w:pStyle w:val="Odstavecseseznamem"/>
        <w:spacing w:before="480"/>
        <w:ind w:left="567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Odborný zástupce/vedoucí lékař</w:t>
      </w:r>
    </w:p>
    <w:p w14:paraId="372DF70B" w14:textId="77777777" w:rsidR="00D93A64" w:rsidRDefault="00D93A64">
      <w:pPr>
        <w:pStyle w:val="Odstavecseseznamem"/>
        <w:ind w:left="567"/>
        <w:rPr>
          <w:rFonts w:ascii="Calibri" w:hAnsi="Calibri"/>
          <w:b/>
          <w:color w:val="000000"/>
          <w:sz w:val="22"/>
          <w:szCs w:val="22"/>
        </w:rPr>
      </w:pPr>
    </w:p>
    <w:p w14:paraId="796B28ED" w14:textId="77777777" w:rsidR="00D93A64" w:rsidRDefault="00000000">
      <w:pPr>
        <w:pStyle w:val="Odstavecseseznamem"/>
        <w:tabs>
          <w:tab w:val="left" w:pos="4253"/>
        </w:tabs>
        <w:ind w:left="567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sz w:val="22"/>
          <w:szCs w:val="22"/>
          <w:lang w:eastAsia="en-US" w:bidi="en-US"/>
        </w:rPr>
        <w:t>Jméno a příjmení:</w:t>
      </w:r>
      <w:r>
        <w:rPr>
          <w:rFonts w:ascii="Calibri" w:hAnsi="Calibri"/>
          <w:b/>
          <w:sz w:val="22"/>
          <w:szCs w:val="22"/>
          <w:lang w:eastAsia="en-US" w:bidi="en-US"/>
        </w:rPr>
        <w:tab/>
      </w:r>
      <w:r>
        <w:rPr>
          <w:rFonts w:asciiTheme="minorHAnsi" w:hAnsiTheme="minorHAnsi" w:cstheme="minorHAnsi"/>
          <w:b/>
          <w:sz w:val="22"/>
          <w:szCs w:val="22"/>
          <w:highlight w:val="yellow"/>
          <w:lang w:bidi="en-US"/>
        </w:rPr>
        <w:fldChar w:fldCharType="begin"/>
      </w:r>
      <w:r>
        <w:rPr>
          <w:rFonts w:asciiTheme="minorHAnsi" w:hAnsiTheme="minorHAnsi" w:cstheme="minorHAnsi"/>
          <w:b/>
          <w:sz w:val="22"/>
          <w:szCs w:val="22"/>
          <w:highlight w:val="yellow"/>
          <w:lang w:bidi="en-US"/>
        </w:rPr>
        <w:instrText xml:space="preserve"> MACROBUTTON  AcceptAllConflictsInDoc "[doplní účastník]" </w:instrText>
      </w:r>
      <w:r>
        <w:rPr>
          <w:rFonts w:asciiTheme="minorHAnsi" w:hAnsiTheme="minorHAnsi" w:cstheme="minorHAnsi"/>
          <w:b/>
          <w:sz w:val="22"/>
          <w:szCs w:val="22"/>
          <w:highlight w:val="yellow"/>
          <w:lang w:bidi="en-US"/>
        </w:rPr>
        <w:fldChar w:fldCharType="end"/>
      </w:r>
    </w:p>
    <w:p w14:paraId="1F0DF453" w14:textId="77777777" w:rsidR="00D93A64" w:rsidRDefault="00000000">
      <w:pPr>
        <w:ind w:left="567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sz w:val="22"/>
        </w:rPr>
        <w:t xml:space="preserve">Adresa: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Theme="minorHAnsi" w:hAnsiTheme="minorHAnsi" w:cstheme="minorHAnsi"/>
          <w:bCs/>
          <w:sz w:val="22"/>
          <w:szCs w:val="22"/>
          <w:highlight w:val="yellow"/>
          <w:lang w:bidi="en-US"/>
        </w:rPr>
        <w:fldChar w:fldCharType="begin"/>
      </w:r>
      <w:r>
        <w:rPr>
          <w:rFonts w:asciiTheme="minorHAnsi" w:hAnsiTheme="minorHAnsi" w:cstheme="minorHAnsi"/>
          <w:bCs/>
          <w:sz w:val="22"/>
          <w:szCs w:val="22"/>
          <w:highlight w:val="yellow"/>
          <w:lang w:bidi="en-US"/>
        </w:rPr>
        <w:instrText xml:space="preserve"> MACROBUTTON  AcceptAllConflictsInDoc "[doplní účastník]" </w:instrText>
      </w:r>
      <w:r>
        <w:rPr>
          <w:rFonts w:asciiTheme="minorHAnsi" w:hAnsiTheme="minorHAnsi" w:cstheme="minorHAnsi"/>
          <w:bCs/>
          <w:sz w:val="22"/>
          <w:szCs w:val="22"/>
          <w:highlight w:val="yellow"/>
          <w:lang w:bidi="en-US"/>
        </w:rPr>
        <w:fldChar w:fldCharType="end"/>
      </w:r>
    </w:p>
    <w:p w14:paraId="7562E11A" w14:textId="77777777" w:rsidR="00D93A64" w:rsidRDefault="00000000">
      <w:pPr>
        <w:ind w:left="567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IČO: 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  <w:highlight w:val="yellow"/>
          <w:lang w:bidi="en-US"/>
        </w:rPr>
        <w:fldChar w:fldCharType="begin"/>
      </w:r>
      <w:r>
        <w:rPr>
          <w:rFonts w:asciiTheme="minorHAnsi" w:hAnsiTheme="minorHAnsi" w:cstheme="minorHAnsi"/>
          <w:bCs/>
          <w:sz w:val="22"/>
          <w:szCs w:val="22"/>
          <w:highlight w:val="yellow"/>
          <w:lang w:bidi="en-US"/>
        </w:rPr>
        <w:instrText xml:space="preserve"> MACROBUTTON  AcceptAllConflictsInDoc "[doplní účastník]" </w:instrText>
      </w:r>
      <w:r>
        <w:rPr>
          <w:rFonts w:asciiTheme="minorHAnsi" w:hAnsiTheme="minorHAnsi" w:cstheme="minorHAnsi"/>
          <w:bCs/>
          <w:sz w:val="22"/>
          <w:szCs w:val="22"/>
          <w:highlight w:val="yellow"/>
          <w:lang w:bidi="en-US"/>
        </w:rPr>
        <w:fldChar w:fldCharType="end"/>
      </w:r>
    </w:p>
    <w:p w14:paraId="6D629130" w14:textId="77777777" w:rsidR="00D93A64" w:rsidRDefault="00000000">
      <w:pPr>
        <w:ind w:left="567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DIČ: 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  <w:highlight w:val="yellow"/>
          <w:lang w:bidi="en-US"/>
        </w:rPr>
        <w:fldChar w:fldCharType="begin"/>
      </w:r>
      <w:r>
        <w:rPr>
          <w:rFonts w:asciiTheme="minorHAnsi" w:hAnsiTheme="minorHAnsi" w:cstheme="minorHAnsi"/>
          <w:bCs/>
          <w:sz w:val="22"/>
          <w:szCs w:val="22"/>
          <w:highlight w:val="yellow"/>
          <w:lang w:bidi="en-US"/>
        </w:rPr>
        <w:instrText xml:space="preserve"> MACROBUTTON  AcceptAllConflictsInDoc "[doplní účastník]" </w:instrText>
      </w:r>
      <w:r>
        <w:rPr>
          <w:rFonts w:asciiTheme="minorHAnsi" w:hAnsiTheme="minorHAnsi" w:cstheme="minorHAnsi"/>
          <w:bCs/>
          <w:sz w:val="22"/>
          <w:szCs w:val="22"/>
          <w:highlight w:val="yellow"/>
          <w:lang w:bidi="en-US"/>
        </w:rPr>
        <w:fldChar w:fldCharType="end"/>
      </w:r>
    </w:p>
    <w:p w14:paraId="7968CA42" w14:textId="77777777" w:rsidR="00D93A64" w:rsidRDefault="00000000">
      <w:pPr>
        <w:ind w:left="567"/>
        <w:rPr>
          <w:rFonts w:ascii="Calibri" w:hAnsi="Calibri"/>
          <w:sz w:val="22"/>
          <w:szCs w:val="22"/>
          <w:lang w:eastAsia="en-US" w:bidi="en-US"/>
        </w:rPr>
      </w:pPr>
      <w:r>
        <w:rPr>
          <w:rFonts w:ascii="Calibri" w:hAnsi="Calibri"/>
          <w:color w:val="000000"/>
          <w:sz w:val="22"/>
          <w:szCs w:val="22"/>
        </w:rPr>
        <w:t xml:space="preserve">Bankovní spojení: 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  <w:highlight w:val="yellow"/>
          <w:lang w:bidi="en-US"/>
        </w:rPr>
        <w:fldChar w:fldCharType="begin"/>
      </w:r>
      <w:r>
        <w:rPr>
          <w:rFonts w:asciiTheme="minorHAnsi" w:hAnsiTheme="minorHAnsi" w:cstheme="minorHAnsi"/>
          <w:bCs/>
          <w:sz w:val="22"/>
          <w:szCs w:val="22"/>
          <w:highlight w:val="yellow"/>
          <w:lang w:bidi="en-US"/>
        </w:rPr>
        <w:instrText xml:space="preserve"> MACROBUTTON  AcceptAllConflictsInDoc "[doplní účastník]" </w:instrText>
      </w:r>
      <w:r>
        <w:rPr>
          <w:rFonts w:asciiTheme="minorHAnsi" w:hAnsiTheme="minorHAnsi" w:cstheme="minorHAnsi"/>
          <w:bCs/>
          <w:sz w:val="22"/>
          <w:szCs w:val="22"/>
          <w:highlight w:val="yellow"/>
          <w:lang w:bidi="en-US"/>
        </w:rPr>
        <w:fldChar w:fldCharType="end"/>
      </w:r>
    </w:p>
    <w:p w14:paraId="44242E80" w14:textId="77777777" w:rsidR="00D93A64" w:rsidRDefault="00000000">
      <w:pPr>
        <w:ind w:left="567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Zápis v obchodním rejstříku: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  <w:highlight w:val="yellow"/>
          <w:lang w:bidi="en-US"/>
        </w:rPr>
        <w:fldChar w:fldCharType="begin"/>
      </w:r>
      <w:r>
        <w:rPr>
          <w:rFonts w:asciiTheme="minorHAnsi" w:hAnsiTheme="minorHAnsi" w:cstheme="minorHAnsi"/>
          <w:bCs/>
          <w:sz w:val="22"/>
          <w:szCs w:val="22"/>
          <w:highlight w:val="yellow"/>
          <w:lang w:bidi="en-US"/>
        </w:rPr>
        <w:instrText xml:space="preserve"> MACROBUTTON  AcceptAllConflictsInDoc "[doplní účastník]" </w:instrText>
      </w:r>
      <w:r>
        <w:rPr>
          <w:rFonts w:asciiTheme="minorHAnsi" w:hAnsiTheme="minorHAnsi" w:cstheme="minorHAnsi"/>
          <w:bCs/>
          <w:sz w:val="22"/>
          <w:szCs w:val="22"/>
          <w:highlight w:val="yellow"/>
          <w:lang w:bidi="en-US"/>
        </w:rPr>
        <w:fldChar w:fldCharType="end"/>
      </w:r>
    </w:p>
    <w:p w14:paraId="3B18CD53" w14:textId="77777777" w:rsidR="00D93A64" w:rsidRDefault="00000000">
      <w:pPr>
        <w:ind w:left="567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Zastoupený: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  <w:highlight w:val="yellow"/>
          <w:lang w:bidi="en-US"/>
        </w:rPr>
        <w:fldChar w:fldCharType="begin"/>
      </w:r>
      <w:r>
        <w:rPr>
          <w:rFonts w:asciiTheme="minorHAnsi" w:hAnsiTheme="minorHAnsi" w:cstheme="minorHAnsi"/>
          <w:bCs/>
          <w:sz w:val="22"/>
          <w:szCs w:val="22"/>
          <w:highlight w:val="yellow"/>
          <w:lang w:bidi="en-US"/>
        </w:rPr>
        <w:instrText xml:space="preserve"> MACROBUTTON  AcceptAllConflictsInDoc "[doplní účastník]" </w:instrText>
      </w:r>
      <w:r>
        <w:rPr>
          <w:rFonts w:asciiTheme="minorHAnsi" w:hAnsiTheme="minorHAnsi" w:cstheme="minorHAnsi"/>
          <w:bCs/>
          <w:sz w:val="22"/>
          <w:szCs w:val="22"/>
          <w:highlight w:val="yellow"/>
          <w:lang w:bidi="en-US"/>
        </w:rPr>
        <w:fldChar w:fldCharType="end"/>
      </w:r>
    </w:p>
    <w:p w14:paraId="4189C76A" w14:textId="77777777" w:rsidR="00D93A64" w:rsidRDefault="00000000">
      <w:pPr>
        <w:spacing w:before="120"/>
        <w:ind w:left="567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Kontaktní osoba: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  <w:highlight w:val="yellow"/>
          <w:lang w:bidi="en-US"/>
        </w:rPr>
        <w:fldChar w:fldCharType="begin"/>
      </w:r>
      <w:r>
        <w:rPr>
          <w:rFonts w:asciiTheme="minorHAnsi" w:hAnsiTheme="minorHAnsi" w:cstheme="minorHAnsi"/>
          <w:bCs/>
          <w:sz w:val="22"/>
          <w:szCs w:val="22"/>
          <w:highlight w:val="yellow"/>
          <w:lang w:bidi="en-US"/>
        </w:rPr>
        <w:instrText xml:space="preserve"> MACROBUTTON  AcceptAllConflictsInDoc "[doplní účastník]" </w:instrText>
      </w:r>
      <w:r>
        <w:rPr>
          <w:rFonts w:asciiTheme="minorHAnsi" w:hAnsiTheme="minorHAnsi" w:cstheme="minorHAnsi"/>
          <w:bCs/>
          <w:sz w:val="22"/>
          <w:szCs w:val="22"/>
          <w:highlight w:val="yellow"/>
          <w:lang w:bidi="en-US"/>
        </w:rPr>
        <w:fldChar w:fldCharType="end"/>
      </w:r>
    </w:p>
    <w:p w14:paraId="5DB3F450" w14:textId="77777777" w:rsidR="00D93A64" w:rsidRDefault="00000000">
      <w:pPr>
        <w:ind w:left="567"/>
        <w:rPr>
          <w:rFonts w:asciiTheme="minorHAnsi" w:hAnsiTheme="minorHAnsi" w:cstheme="minorHAnsi"/>
          <w:bCs/>
          <w:sz w:val="22"/>
          <w:szCs w:val="22"/>
          <w:lang w:bidi="en-US"/>
        </w:rPr>
      </w:pPr>
      <w:r>
        <w:rPr>
          <w:rFonts w:ascii="Calibri" w:hAnsi="Calibri"/>
          <w:color w:val="000000"/>
          <w:sz w:val="22"/>
          <w:szCs w:val="22"/>
        </w:rPr>
        <w:t xml:space="preserve">Telefonní spojení: 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  <w:highlight w:val="yellow"/>
          <w:lang w:bidi="en-US"/>
        </w:rPr>
        <w:fldChar w:fldCharType="begin"/>
      </w:r>
      <w:r>
        <w:rPr>
          <w:rFonts w:asciiTheme="minorHAnsi" w:hAnsiTheme="minorHAnsi" w:cstheme="minorHAnsi"/>
          <w:bCs/>
          <w:sz w:val="22"/>
          <w:szCs w:val="22"/>
          <w:highlight w:val="yellow"/>
          <w:lang w:bidi="en-US"/>
        </w:rPr>
        <w:instrText xml:space="preserve"> MACROBUTTON  AcceptAllConflictsInDoc "[doplní účastník]" </w:instrText>
      </w:r>
      <w:r>
        <w:rPr>
          <w:rFonts w:asciiTheme="minorHAnsi" w:hAnsiTheme="minorHAnsi" w:cstheme="minorHAnsi"/>
          <w:bCs/>
          <w:sz w:val="22"/>
          <w:szCs w:val="22"/>
          <w:highlight w:val="yellow"/>
          <w:lang w:bidi="en-US"/>
        </w:rPr>
        <w:fldChar w:fldCharType="end"/>
      </w:r>
    </w:p>
    <w:p w14:paraId="5BB093DA" w14:textId="77777777" w:rsidR="00D93A64" w:rsidRDefault="00000000">
      <w:pPr>
        <w:ind w:left="567"/>
        <w:rPr>
          <w:rFonts w:asciiTheme="minorHAnsi" w:hAnsiTheme="minorHAnsi" w:cstheme="minorHAnsi"/>
          <w:bCs/>
          <w:sz w:val="22"/>
          <w:szCs w:val="22"/>
          <w:lang w:bidi="en-US"/>
        </w:rPr>
      </w:pPr>
      <w:r>
        <w:rPr>
          <w:rFonts w:ascii="Calibri" w:hAnsi="Calibri"/>
          <w:color w:val="000000"/>
          <w:sz w:val="22"/>
          <w:szCs w:val="22"/>
        </w:rPr>
        <w:t xml:space="preserve">E-mail: 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  <w:highlight w:val="yellow"/>
          <w:lang w:bidi="en-US"/>
        </w:rPr>
        <w:fldChar w:fldCharType="begin"/>
      </w:r>
      <w:r>
        <w:rPr>
          <w:rFonts w:asciiTheme="minorHAnsi" w:hAnsiTheme="minorHAnsi" w:cstheme="minorHAnsi"/>
          <w:bCs/>
          <w:sz w:val="22"/>
          <w:szCs w:val="22"/>
          <w:highlight w:val="yellow"/>
          <w:lang w:bidi="en-US"/>
        </w:rPr>
        <w:instrText xml:space="preserve"> MACROBUTTON  AcceptAllConflictsInDoc "[doplní účastník]" </w:instrText>
      </w:r>
      <w:r>
        <w:rPr>
          <w:rFonts w:asciiTheme="minorHAnsi" w:hAnsiTheme="minorHAnsi" w:cstheme="minorHAnsi"/>
          <w:bCs/>
          <w:sz w:val="22"/>
          <w:szCs w:val="22"/>
          <w:highlight w:val="yellow"/>
          <w:lang w:bidi="en-US"/>
        </w:rPr>
        <w:fldChar w:fldCharType="end"/>
      </w:r>
    </w:p>
    <w:p w14:paraId="2024F687" w14:textId="77777777" w:rsidR="00D93A64" w:rsidRDefault="00D93A64">
      <w:pPr>
        <w:ind w:left="567"/>
        <w:rPr>
          <w:rFonts w:ascii="Calibri" w:hAnsi="Calibri"/>
          <w:i/>
          <w:color w:val="000000"/>
          <w:sz w:val="22"/>
          <w:szCs w:val="22"/>
        </w:rPr>
      </w:pPr>
    </w:p>
    <w:p w14:paraId="451254D6" w14:textId="77777777" w:rsidR="00D93A64" w:rsidRDefault="00000000">
      <w:pPr>
        <w:ind w:left="567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(dále jen „Odborný zástupce“</w:t>
      </w:r>
      <w:r>
        <w:rPr>
          <w:rFonts w:asciiTheme="minorHAnsi" w:hAnsiTheme="minorHAnsi" w:cstheme="minorHAnsi"/>
          <w:i/>
          <w:sz w:val="22"/>
          <w:szCs w:val="22"/>
        </w:rPr>
        <w:br w:type="page"/>
      </w:r>
    </w:p>
    <w:p w14:paraId="6B4D6DA1" w14:textId="77777777" w:rsidR="00D93A64" w:rsidRDefault="00000000">
      <w:pPr>
        <w:pStyle w:val="Nadpis1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lastRenderedPageBreak/>
        <w:t>ÚVODNÍ UJEDNÁNÍ A ÚČEL DOHODY</w:t>
      </w:r>
    </w:p>
    <w:p w14:paraId="370668B5" w14:textId="77777777" w:rsidR="00D93A64" w:rsidRDefault="00000000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Smlouva je uzavřena na základě výsledků </w:t>
      </w:r>
      <w:sdt>
        <w:sdtPr>
          <w:rPr>
            <w:rFonts w:asciiTheme="minorHAnsi" w:hAnsiTheme="minorHAnsi" w:cstheme="minorHAnsi"/>
            <w:sz w:val="22"/>
            <w:szCs w:val="22"/>
          </w:rPr>
          <w:id w:val="-693310833"/>
          <w:placeholder>
            <w:docPart w:val="CE671E1733A449808DBDF8EF758BD26E"/>
          </w:placeholder>
          <w:comboBox>
            <w:listItem w:value="Zvolte položku."/>
            <w:listItem w:displayText="zadávacího řízení" w:value="zadávacího řízení"/>
            <w:listItem w:displayText="výběrového řízení" w:value="výběrového řízení"/>
          </w:comboBox>
        </w:sdtPr>
        <w:sdtContent>
          <w:r>
            <w:rPr>
              <w:rFonts w:asciiTheme="minorHAnsi" w:hAnsiTheme="minorHAnsi" w:cstheme="minorHAnsi"/>
              <w:sz w:val="22"/>
              <w:szCs w:val="22"/>
            </w:rPr>
            <w:t>výběrového řízení</w:t>
          </w:r>
        </w:sdtContent>
      </w:sdt>
      <w:r>
        <w:rPr>
          <w:rFonts w:ascii="Calibri" w:hAnsi="Calibri"/>
          <w:color w:val="000000"/>
          <w:sz w:val="22"/>
          <w:szCs w:val="22"/>
        </w:rPr>
        <w:t xml:space="preserve"> (</w:t>
      </w:r>
      <w:r>
        <w:rPr>
          <w:rFonts w:asciiTheme="minorHAnsi" w:hAnsiTheme="minorHAnsi" w:cstheme="minorHAnsi"/>
          <w:color w:val="000000"/>
          <w:sz w:val="22"/>
          <w:szCs w:val="22"/>
        </w:rPr>
        <w:t>dále jen „</w:t>
      </w:r>
      <w:r>
        <w:rPr>
          <w:rFonts w:asciiTheme="minorHAnsi" w:hAnsiTheme="minorHAnsi" w:cstheme="minorHAnsi"/>
          <w:b/>
          <w:i/>
          <w:color w:val="000000"/>
          <w:sz w:val="22"/>
          <w:szCs w:val="22"/>
        </w:rPr>
        <w:t>Řízení veřejné zakázky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“) </w:t>
      </w:r>
      <w:r>
        <w:rPr>
          <w:rFonts w:asciiTheme="minorHAnsi" w:hAnsiTheme="minorHAnsi" w:cstheme="minorHAnsi"/>
          <w:sz w:val="22"/>
          <w:szCs w:val="22"/>
        </w:rPr>
        <w:t>Veřejné zakázky. Jednotlivá ujednání Smlouvy tak budou vykládána v souladu se zadávacími podmínkami Veřejné zakázky a nabídkou podanou do Řízení veřejné zakázky.</w:t>
      </w:r>
    </w:p>
    <w:p w14:paraId="0BEBAC3E" w14:textId="77777777" w:rsidR="00D93A64" w:rsidRDefault="00000000">
      <w:pPr>
        <w:pStyle w:val="Odstavecseseznamem"/>
        <w:numPr>
          <w:ilvl w:val="0"/>
          <w:numId w:val="3"/>
        </w:num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Účelem Smlouvy je provést předmět této Smlouvy, kdy realizací tohoto předmětu Objednatel sleduje zajištění popisů</w:t>
      </w:r>
      <w:r>
        <w:rPr>
          <w:rFonts w:asciiTheme="minorHAnsi" w:hAnsiTheme="minorHAnsi" w:cstheme="minorHAnsi"/>
          <w:bCs/>
          <w:sz w:val="22"/>
          <w:szCs w:val="22"/>
          <w:lang w:bidi="en-US"/>
        </w:rPr>
        <w:t xml:space="preserve"> RTG snímků na oddělení radiologie Polikliniky Žďár nad Sázavou a zajištění úvazku lékaře radiologa v rozsahu 0,4, tj. kapacita 16 hodin týdně.</w:t>
      </w:r>
    </w:p>
    <w:p w14:paraId="6B3B7ABF" w14:textId="77777777" w:rsidR="00D93A64" w:rsidRDefault="00D93A64">
      <w:pPr>
        <w:widowControl w:val="0"/>
        <w:tabs>
          <w:tab w:val="left" w:pos="2835"/>
        </w:tabs>
        <w:spacing w:after="120"/>
        <w:ind w:left="567"/>
        <w:contextualSpacing/>
        <w:jc w:val="both"/>
      </w:pPr>
    </w:p>
    <w:p w14:paraId="63E0E260" w14:textId="77777777" w:rsidR="00D93A64" w:rsidRDefault="00000000">
      <w:pPr>
        <w:pStyle w:val="Nadpis1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PŘEDMĚT DOHODY</w:t>
      </w:r>
    </w:p>
    <w:p w14:paraId="14A1BFA1" w14:textId="77777777" w:rsidR="00D93A64" w:rsidRDefault="00000000">
      <w:pPr>
        <w:numPr>
          <w:ilvl w:val="0"/>
          <w:numId w:val="3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Odborný zástupce se zavazuje vykonávat pro Poskytovatele funkci:</w:t>
      </w:r>
    </w:p>
    <w:p w14:paraId="1C415264" w14:textId="77777777" w:rsidR="00D93A64" w:rsidRDefault="00000000">
      <w:pPr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odborného zástupce, kdy ve smyslu § 21 zákona č. 372/2011 Sb., o zdravotních službách, bude oznámena změna údajů o odborném zástupci u krajského úřadu kraje Vysočina</w:t>
      </w:r>
    </w:p>
    <w:p w14:paraId="11028412" w14:textId="77777777" w:rsidR="00D93A64" w:rsidRDefault="00000000">
      <w:pPr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vedoucího lékaře zdravotnického zařízení Poskytovatele</w:t>
      </w:r>
    </w:p>
    <w:p w14:paraId="289173CB" w14:textId="77777777" w:rsidR="00D93A64" w:rsidRDefault="00000000" w:rsidP="00AC31F6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Odborný zástupce tímto prohlašuje, že je oprávněným k poskytování zdravotních služeb v oboru radiologie a zobrazovací metody dle zákona č. 372/2011 Sb., o zdravotních službách a podmínkách jejich poskytování, v platném znění. Doklad o vzdělání je doložen v příloze a je součástí této dohody</w:t>
      </w:r>
    </w:p>
    <w:p w14:paraId="6B037866" w14:textId="77777777" w:rsidR="00D93A64" w:rsidRDefault="00D93A64">
      <w:pPr>
        <w:jc w:val="both"/>
        <w:rPr>
          <w:rFonts w:ascii="Calibri" w:hAnsi="Calibri"/>
          <w:sz w:val="22"/>
          <w:szCs w:val="22"/>
        </w:rPr>
      </w:pPr>
    </w:p>
    <w:p w14:paraId="7F2EE380" w14:textId="77777777" w:rsidR="00D93A64" w:rsidRDefault="00000000">
      <w:pPr>
        <w:pStyle w:val="Nadpis1"/>
        <w:rPr>
          <w:szCs w:val="22"/>
        </w:rPr>
      </w:pPr>
      <w:r>
        <w:rPr>
          <w:szCs w:val="22"/>
        </w:rPr>
        <w:t>ROZSAH ČINNOSTI A ÚVAZEK</w:t>
      </w:r>
    </w:p>
    <w:p w14:paraId="44DAAED8" w14:textId="0FF36F5F" w:rsidR="00D93A64" w:rsidRDefault="00000000">
      <w:pPr>
        <w:pStyle w:val="Odstavecseseznamem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bookmarkStart w:id="0" w:name="_Toc305060732"/>
      <w:bookmarkStart w:id="1" w:name="_Toc305061226"/>
      <w:bookmarkStart w:id="2" w:name="_Ref396398181"/>
      <w:r>
        <w:rPr>
          <w:rFonts w:asciiTheme="minorHAnsi" w:hAnsiTheme="minorHAnsi" w:cstheme="minorHAnsi"/>
          <w:sz w:val="22"/>
          <w:szCs w:val="22"/>
        </w:rPr>
        <w:t>Odborný zástupce bude vykonávat funkci v rozsahu odpovídajícím 0,4 úvazku, tj. kapacita 16 hodin týdně.</w:t>
      </w:r>
    </w:p>
    <w:p w14:paraId="14726C5D" w14:textId="77777777" w:rsidR="00D93A64" w:rsidRDefault="00000000">
      <w:pPr>
        <w:pStyle w:val="Odstavecseseznamem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Konkrétní rozvržení činnosti bude dohodnuto podle provozních potřeb Poskytovatele</w:t>
      </w:r>
    </w:p>
    <w:p w14:paraId="04B3E1BD" w14:textId="77777777" w:rsidR="00D93A64" w:rsidRDefault="00D93A64">
      <w:pPr>
        <w:pStyle w:val="Odstavecseseznamem"/>
        <w:ind w:left="567"/>
        <w:jc w:val="both"/>
        <w:rPr>
          <w:rFonts w:ascii="Calibri" w:hAnsi="Calibri"/>
          <w:sz w:val="22"/>
          <w:szCs w:val="22"/>
        </w:rPr>
      </w:pPr>
    </w:p>
    <w:bookmarkEnd w:id="0"/>
    <w:bookmarkEnd w:id="1"/>
    <w:bookmarkEnd w:id="2"/>
    <w:p w14:paraId="092C469B" w14:textId="77777777" w:rsidR="00D93A64" w:rsidRDefault="00000000">
      <w:pPr>
        <w:pStyle w:val="Nadpis1"/>
        <w:rPr>
          <w:szCs w:val="22"/>
        </w:rPr>
      </w:pPr>
      <w:r>
        <w:rPr>
          <w:szCs w:val="22"/>
        </w:rPr>
        <w:t>ODMĚNA</w:t>
      </w:r>
    </w:p>
    <w:p w14:paraId="029D4CA7" w14:textId="48C92E7B" w:rsidR="00D93A64" w:rsidRDefault="00000000" w:rsidP="00AC31F6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výkon funkce náleží Odbornému zástupci měsíční odměna ve výši </w:t>
      </w:r>
      <w:r w:rsidRPr="00AC31F6">
        <w:rPr>
          <w:rFonts w:asciiTheme="minorHAnsi" w:hAnsiTheme="minorHAnsi" w:cstheme="minorHAnsi"/>
          <w:sz w:val="22"/>
          <w:szCs w:val="22"/>
          <w:highlight w:val="yellow"/>
        </w:rPr>
        <w:fldChar w:fldCharType="begin"/>
      </w:r>
      <w:r w:rsidRPr="00AC31F6">
        <w:rPr>
          <w:rFonts w:asciiTheme="minorHAnsi" w:hAnsiTheme="minorHAnsi" w:cstheme="minorHAnsi"/>
          <w:sz w:val="22"/>
          <w:szCs w:val="22"/>
          <w:highlight w:val="yellow"/>
        </w:rPr>
        <w:instrText xml:space="preserve"> MACROBUTTON  AcceptAllConflictsInDoc "[doplní účastník]" </w:instrText>
      </w:r>
      <w:r w:rsidRPr="00AC31F6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Kč měsíčně </w:t>
      </w:r>
    </w:p>
    <w:p w14:paraId="679259D0" w14:textId="3FCEA6EC" w:rsidR="00D93A64" w:rsidRPr="00AC31F6" w:rsidRDefault="00000000" w:rsidP="00AC31F6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C31F6">
        <w:rPr>
          <w:rFonts w:asciiTheme="minorHAnsi" w:hAnsiTheme="minorHAnsi" w:cstheme="minorHAnsi"/>
          <w:sz w:val="22"/>
          <w:szCs w:val="22"/>
        </w:rPr>
        <w:t xml:space="preserve">Součástí </w:t>
      </w:r>
      <w:r w:rsidR="00BB2984" w:rsidRPr="00AC31F6">
        <w:rPr>
          <w:rFonts w:asciiTheme="minorHAnsi" w:hAnsiTheme="minorHAnsi" w:cstheme="minorHAnsi"/>
          <w:sz w:val="22"/>
          <w:szCs w:val="22"/>
        </w:rPr>
        <w:t>odměny</w:t>
      </w:r>
      <w:r w:rsidRPr="00AC31F6">
        <w:rPr>
          <w:rFonts w:asciiTheme="minorHAnsi" w:hAnsiTheme="minorHAnsi" w:cstheme="minorHAnsi"/>
          <w:sz w:val="22"/>
          <w:szCs w:val="22"/>
        </w:rPr>
        <w:t xml:space="preserve"> </w:t>
      </w:r>
      <w:r w:rsidR="00BB2984" w:rsidRPr="00AC31F6">
        <w:rPr>
          <w:rFonts w:asciiTheme="minorHAnsi" w:hAnsiTheme="minorHAnsi" w:cstheme="minorHAnsi"/>
          <w:sz w:val="22"/>
          <w:szCs w:val="22"/>
        </w:rPr>
        <w:t>dle této dohody</w:t>
      </w:r>
      <w:r w:rsidRPr="00AC31F6">
        <w:rPr>
          <w:rFonts w:asciiTheme="minorHAnsi" w:hAnsiTheme="minorHAnsi" w:cstheme="minorHAnsi"/>
          <w:sz w:val="22"/>
          <w:szCs w:val="22"/>
        </w:rPr>
        <w:t xml:space="preserve"> je náhrada všech nákladů zhotovitele na splnění jeho závazku podle této smlouvy v místě jeho plnění a daň z přidané hodnoty v její výši podle příslušných právních předpisů. DPH se rozumí peněžní částka, jejíž výše odpovídá výši daně z přidané hodnoty vypočtené podle zákona č. 235/2004 Sb., o dani z přidané hodnoty, ve znění pozdějších předpisů. Ke dni podpisu smlouvy dle § 58 odst.1 zákona č. 235/2004 Sb., o dani z přidané hodnoty jsou zdravotní služby osvobozeny od daně z přidané hodnoty. Cena bez DPH se tak považuje za konečnou, nepřekročitelnou v sazbě osvobozeno. V případě zákonné změny sazby DPH (z režimu osvobozeno), je nabídková cena považována za konečnou (tj. včetně DPH) a dále se nenavyšuje. Není-li účastník výběrového řízení registrovaným plátcem DPH, tuto skutečnost výslovně uvede prohlášením v návrhu smlouvy.</w:t>
      </w:r>
    </w:p>
    <w:p w14:paraId="748C74C7" w14:textId="0704E878" w:rsidR="00D93A64" w:rsidRDefault="00962876">
      <w:pPr>
        <w:pStyle w:val="Odstavecseseznamem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Odměna dle této dohody je splatná po řádném splnění závazku Odborného zástupce za příslušný kalendářní měsíc, a to ve lhůtě do 15 dnů od předložení jeho písemného vyúčtování (faktury) doručeného do sídla objednatele nebo elektronicky na adresu </w:t>
      </w:r>
      <w:hyperlink r:id="rId8" w:history="1">
        <w:r>
          <w:rPr>
            <w:rStyle w:val="Hypertextovodkaz"/>
            <w:rFonts w:asciiTheme="minorHAnsi" w:hAnsiTheme="minorHAnsi" w:cstheme="minorHAnsi"/>
            <w:sz w:val="22"/>
            <w:szCs w:val="22"/>
          </w:rPr>
          <w:t>strakova@poliklinikazr.cz</w:t>
        </w:r>
      </w:hyperlink>
    </w:p>
    <w:p w14:paraId="4B68DC92" w14:textId="77777777" w:rsidR="00D93A64" w:rsidRDefault="00000000">
      <w:pPr>
        <w:keepNext/>
        <w:numPr>
          <w:ilvl w:val="0"/>
          <w:numId w:val="3"/>
        </w:numPr>
        <w:jc w:val="both"/>
        <w:rPr>
          <w:rFonts w:ascii="Calibri" w:hAnsi="Calibri"/>
          <w:sz w:val="22"/>
          <w:szCs w:val="22"/>
          <w:lang w:eastAsia="ar-SA"/>
        </w:rPr>
      </w:pPr>
      <w:r>
        <w:rPr>
          <w:rFonts w:ascii="Calibri" w:hAnsi="Calibri"/>
          <w:sz w:val="22"/>
          <w:szCs w:val="22"/>
        </w:rPr>
        <w:t>Faktura vystavená Zhotovitelem musí splňovat náležitosti daňového dokladu dle zákona č. 235/2004 Sb., o dani z přidané hodnoty, ve znění pozdějších předpisů.</w:t>
      </w:r>
    </w:p>
    <w:p w14:paraId="10E2A4A2" w14:textId="77777777" w:rsidR="00D93A64" w:rsidRDefault="00000000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Vzhledem k veřejnoprávnímu charakteru Poskytovatele Odborný zástupce výslovně prohlašuje, že je s touto skutečností obeznámen a souhlasí se zveřejněním dohody v rozsahu a za podmínek vyplývajících z příslušných právních předpisů.</w:t>
      </w:r>
    </w:p>
    <w:p w14:paraId="61D29B4A" w14:textId="77777777" w:rsidR="00D93A64" w:rsidRDefault="00000000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Zhotovitel si je vědom, že je ve smyslu § 2 písm. e) zákona č. 320/2001 Sb., o finanční kontrole ve veřejné správě a o změně některých zákonů, ve znění pozdějších předpisů (dále jen „</w:t>
      </w:r>
      <w:r>
        <w:rPr>
          <w:rFonts w:ascii="Calibri" w:hAnsi="Calibri"/>
          <w:b/>
          <w:i/>
          <w:sz w:val="22"/>
          <w:szCs w:val="22"/>
        </w:rPr>
        <w:t>Zákon o kontrole</w:t>
      </w:r>
      <w:r>
        <w:rPr>
          <w:rFonts w:ascii="Calibri" w:hAnsi="Calibri"/>
          <w:sz w:val="22"/>
          <w:szCs w:val="22"/>
        </w:rPr>
        <w:t xml:space="preserve">“), povinen spolupůsobit při výkonu finanční kontroly. </w:t>
      </w:r>
    </w:p>
    <w:p w14:paraId="679C47D0" w14:textId="77777777" w:rsidR="00D93A64" w:rsidRDefault="00000000">
      <w:pPr>
        <w:pStyle w:val="Odstavec"/>
        <w:keepLines/>
        <w:numPr>
          <w:ilvl w:val="0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cs-CZ"/>
        </w:rPr>
        <w:lastRenderedPageBreak/>
        <w:t>Smluvní strany prohlašují, že identifikační údaje uvedené v záhlaví této Dohody odpovídají aktuálnímu stavu a že osobami jednajícími při uzavření Dohody jsou osoby oprávněné k jednání za smluvní strany bez jakéhokoliv omezení vnitřními předpisy smluvních stran.</w:t>
      </w:r>
    </w:p>
    <w:p w14:paraId="717BDFE9" w14:textId="77777777" w:rsidR="00D93A64" w:rsidRDefault="00000000">
      <w:pPr>
        <w:pStyle w:val="Odstavec"/>
        <w:keepLines/>
        <w:numPr>
          <w:ilvl w:val="0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cs-CZ"/>
        </w:rPr>
        <w:t>Jakékoliv změny údajů uvedených v záhlaví této Dohody, jež nastanou v době po uzavření dohody, jsou smluvní strany povinny bez zbytečného odkladu písemně sdělit druhé smluvní straně.</w:t>
      </w:r>
    </w:p>
    <w:p w14:paraId="3849D652" w14:textId="77777777" w:rsidR="00D93A64" w:rsidRDefault="00000000">
      <w:pPr>
        <w:pStyle w:val="Odstavec"/>
        <w:keepLines/>
        <w:numPr>
          <w:ilvl w:val="0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cs-CZ"/>
        </w:rPr>
        <w:t>V případě, že se kterékoliv prohlášení některé ze Smluvních stran uvedené v dohodě ukáže býti nepravdivým, odpovídá tato smluvní strana za škodu a nemajetkovou újmu, která nepravdivostí prohlášení nebo v souvislosti s ní druhé smluvní straně vznikla.</w:t>
      </w:r>
    </w:p>
    <w:p w14:paraId="0C057F75" w14:textId="77777777" w:rsidR="00D93A64" w:rsidRDefault="00D93A64">
      <w:pPr>
        <w:jc w:val="both"/>
        <w:rPr>
          <w:rFonts w:ascii="Calibri" w:hAnsi="Calibri"/>
          <w:sz w:val="22"/>
          <w:szCs w:val="22"/>
        </w:rPr>
      </w:pPr>
    </w:p>
    <w:p w14:paraId="49F7730F" w14:textId="77777777" w:rsidR="00D93A64" w:rsidRDefault="00000000">
      <w:pPr>
        <w:pStyle w:val="Nadpis1"/>
        <w:keepLines w:val="0"/>
        <w:rPr>
          <w:szCs w:val="22"/>
        </w:rPr>
      </w:pPr>
      <w:r>
        <w:rPr>
          <w:szCs w:val="22"/>
        </w:rPr>
        <w:t>MLČENLIVOST</w:t>
      </w:r>
    </w:p>
    <w:p w14:paraId="402949A5" w14:textId="4D3DFFB8" w:rsidR="00D93A64" w:rsidRPr="003C0086" w:rsidRDefault="00000000" w:rsidP="00E23381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3C0086">
        <w:rPr>
          <w:rFonts w:asciiTheme="minorHAnsi" w:hAnsiTheme="minorHAnsi" w:cstheme="minorHAnsi"/>
          <w:sz w:val="22"/>
          <w:szCs w:val="22"/>
        </w:rPr>
        <w:t xml:space="preserve">Zhotovitel je povinen zachovávat mlčenlivost, a to nejméně v rozsahu § 51 a násl. zákona č. 372/2011 Sb., o zdravotních službách a podmínkách jejich poskytování, v platném znění, a to i po skončení této smlouvy. </w:t>
      </w:r>
    </w:p>
    <w:p w14:paraId="0AFB24D9" w14:textId="77777777" w:rsidR="00D93A64" w:rsidRDefault="00000000">
      <w:pPr>
        <w:pStyle w:val="Odstavecseseznamem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 případ porušení některé z povinností zhotovitele vyplývajících z ustanovení odst.16 této smlouvy je odborný zástupce poskytovateli povinen uhradit smluvní pokutu ve výši 50.000,- Kč v každém jednotlivém případě porušení těchto povinností. Tímto ustanovením není nikterak dotčen nárok poskytovatele na náhradu škody v plné výši.</w:t>
      </w:r>
    </w:p>
    <w:p w14:paraId="5FC14D81" w14:textId="77777777" w:rsidR="00D93A64" w:rsidRDefault="00D93A64">
      <w:pPr>
        <w:pStyle w:val="Odstavecseseznamem"/>
        <w:rPr>
          <w:rFonts w:ascii="Calibri" w:hAnsi="Calibri"/>
          <w:sz w:val="22"/>
          <w:szCs w:val="22"/>
        </w:rPr>
      </w:pPr>
    </w:p>
    <w:p w14:paraId="15C7424E" w14:textId="77777777" w:rsidR="00D93A64" w:rsidRDefault="00000000">
      <w:pPr>
        <w:pStyle w:val="Nadpis1"/>
        <w:rPr>
          <w:szCs w:val="22"/>
        </w:rPr>
      </w:pPr>
      <w:r>
        <w:rPr>
          <w:szCs w:val="22"/>
        </w:rPr>
        <w:t>OSTATNÍ UJEDNÁNÍ</w:t>
      </w:r>
    </w:p>
    <w:p w14:paraId="18476828" w14:textId="77777777" w:rsidR="00D93A64" w:rsidRDefault="00000000">
      <w:pPr>
        <w:pStyle w:val="Odstavecseseznamem"/>
        <w:numPr>
          <w:ilvl w:val="0"/>
          <w:numId w:val="3"/>
        </w:numPr>
        <w:spacing w:after="160" w:line="259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Odborný zástupce prohlašuje, že splňuje veškeré zákonné požadavky na výkon funkce dle § 17 zákona č. 372/2011 Sb., a že souhlasí se zapsáním do registru poskytovatelů jako odborný zástupce.</w:t>
      </w:r>
    </w:p>
    <w:p w14:paraId="1644DA1A" w14:textId="382B9C55" w:rsidR="00D93A64" w:rsidRPr="003C0086" w:rsidRDefault="00000000" w:rsidP="00BF0BB3">
      <w:pPr>
        <w:pStyle w:val="Odstavecseseznamem"/>
        <w:numPr>
          <w:ilvl w:val="0"/>
          <w:numId w:val="3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0086">
        <w:rPr>
          <w:rFonts w:ascii="Calibri" w:hAnsi="Calibri"/>
          <w:sz w:val="22"/>
          <w:szCs w:val="22"/>
        </w:rPr>
        <w:t>Odborný zástupce souhlasí se zapsáním funkce vedoucího lékaře radiologického pracoviště u všech pojišťoven s úvazkem 0,4, tj. kapacitou 16 hodin týdně.</w:t>
      </w:r>
    </w:p>
    <w:p w14:paraId="6A6FCCA4" w14:textId="77777777" w:rsidR="00D93A64" w:rsidRDefault="00000000">
      <w:pPr>
        <w:pStyle w:val="Nadpis1"/>
        <w:rPr>
          <w:szCs w:val="22"/>
        </w:rPr>
      </w:pPr>
      <w:bookmarkStart w:id="3" w:name="_Toc383117528"/>
      <w:r>
        <w:rPr>
          <w:szCs w:val="22"/>
        </w:rPr>
        <w:t>ZÁVĚREČNÁ UJEDNÁNÍ</w:t>
      </w:r>
      <w:bookmarkEnd w:id="3"/>
    </w:p>
    <w:p w14:paraId="5AD29FA8" w14:textId="77777777" w:rsidR="00D93A64" w:rsidRDefault="00000000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Veškerá práva a povinnosti smluvních stran vyplývající z dohody se řídí českým právním řádem. Smluvní strany se dohodly, že ustanovení právních předpisů, která nemají donucující účinky, mají přednost před obchodními zvyklostmi, pokud dohoda nestanoví jinak.</w:t>
      </w:r>
    </w:p>
    <w:p w14:paraId="5D43C6DF" w14:textId="77777777" w:rsidR="00D93A64" w:rsidRDefault="00000000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Všechny spory vznikající z dohody a v souvislosti s ní budou dle vůle smluvních stran rozhodovány soudy České republiky, jakožto soudy výlučně příslušnými.</w:t>
      </w:r>
    </w:p>
    <w:p w14:paraId="0C3146DC" w14:textId="77777777" w:rsidR="00D93A64" w:rsidRDefault="00000000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Dohodu lze měnit pouze písemnými dodatky. Jakékoli změny dohody učiněné jinou, než písemnou formou jsou vyloučeny.</w:t>
      </w:r>
    </w:p>
    <w:p w14:paraId="59782456" w14:textId="77777777" w:rsidR="00D93A64" w:rsidRDefault="00000000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Dohoda je sepsána ve dvou vyhotoveních, po jednom pro každou smluvní stranu.</w:t>
      </w:r>
    </w:p>
    <w:p w14:paraId="40D2BF04" w14:textId="4A9BEFFA" w:rsidR="00D97BE3" w:rsidRPr="00D97BE3" w:rsidRDefault="00000000" w:rsidP="00D97BE3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Tato dohoda nabývá platnosti dnem jejího uzavření a uzavírá se na</w:t>
      </w:r>
      <w:r w:rsidR="00D97BE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36 měsíců</w:t>
      </w:r>
      <w:r w:rsidR="00D97BE3">
        <w:rPr>
          <w:rFonts w:asciiTheme="minorHAnsi" w:hAnsiTheme="minorHAnsi" w:cstheme="minorHAnsi"/>
          <w:sz w:val="22"/>
          <w:szCs w:val="22"/>
        </w:rPr>
        <w:t xml:space="preserve">, tj. do 31.8.2028 nebo do vyčerpání celkového limitu 2.900.000 </w:t>
      </w:r>
      <w:r w:rsidR="00B60CBB">
        <w:rPr>
          <w:rFonts w:asciiTheme="minorHAnsi" w:hAnsiTheme="minorHAnsi" w:cstheme="minorHAnsi"/>
          <w:sz w:val="22"/>
          <w:szCs w:val="22"/>
        </w:rPr>
        <w:t xml:space="preserve">Kč bez DPH </w:t>
      </w:r>
      <w:r w:rsidR="00D97BE3">
        <w:rPr>
          <w:rFonts w:asciiTheme="minorHAnsi" w:hAnsiTheme="minorHAnsi" w:cstheme="minorHAnsi"/>
          <w:sz w:val="22"/>
          <w:szCs w:val="22"/>
        </w:rPr>
        <w:t>hodnoty Veřejné zakázky „Vyhotovení popisů RTG snímků</w:t>
      </w:r>
      <w:r w:rsidR="00B60CBB">
        <w:rPr>
          <w:rFonts w:asciiTheme="minorHAnsi" w:hAnsiTheme="minorHAnsi" w:cstheme="minorHAnsi"/>
          <w:sz w:val="22"/>
          <w:szCs w:val="22"/>
        </w:rPr>
        <w:t>, podle toho, co nastane dříve.</w:t>
      </w:r>
    </w:p>
    <w:p w14:paraId="15233000" w14:textId="77777777" w:rsidR="00D93A64" w:rsidRDefault="00000000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Dohoda nabývá účinnosti dnem jejího uveřejnění v registru smluv. Dohodu uveřejní v registru smluv poskytovatel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1F52846" w14:textId="77777777" w:rsidR="00D93A64" w:rsidRDefault="00D93A64">
      <w:pPr>
        <w:jc w:val="both"/>
        <w:rPr>
          <w:rFonts w:ascii="Calibri" w:hAnsi="Calibri"/>
          <w:sz w:val="22"/>
          <w:szCs w:val="22"/>
        </w:rPr>
      </w:pPr>
    </w:p>
    <w:p w14:paraId="3516C8B7" w14:textId="77777777" w:rsidR="00D93A64" w:rsidRDefault="00D93A64">
      <w:pPr>
        <w:jc w:val="both"/>
        <w:rPr>
          <w:rFonts w:ascii="Calibri" w:hAnsi="Calibri"/>
          <w:sz w:val="22"/>
          <w:szCs w:val="22"/>
        </w:rPr>
      </w:pPr>
    </w:p>
    <w:p w14:paraId="461EF2AB" w14:textId="77777777" w:rsidR="00D93A64" w:rsidRDefault="0000000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 Žďáře nad Sázavou dne ____________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V ________________ dne ____________</w:t>
      </w:r>
    </w:p>
    <w:p w14:paraId="2C5060F7" w14:textId="77777777" w:rsidR="00D93A64" w:rsidRDefault="00D93A64">
      <w:pPr>
        <w:jc w:val="both"/>
        <w:rPr>
          <w:rFonts w:ascii="Calibri" w:hAnsi="Calibri"/>
          <w:sz w:val="22"/>
          <w:szCs w:val="22"/>
        </w:rPr>
      </w:pPr>
    </w:p>
    <w:p w14:paraId="22A4AB37" w14:textId="77777777" w:rsidR="00D93A64" w:rsidRDefault="00D93A64">
      <w:pPr>
        <w:jc w:val="both"/>
        <w:rPr>
          <w:rFonts w:ascii="Calibri" w:hAnsi="Calibri"/>
          <w:b/>
          <w:sz w:val="22"/>
          <w:szCs w:val="22"/>
        </w:rPr>
      </w:pPr>
    </w:p>
    <w:p w14:paraId="22491B66" w14:textId="77777777" w:rsidR="00D93A64" w:rsidRDefault="00D93A64">
      <w:pPr>
        <w:rPr>
          <w:rFonts w:ascii="Calibri" w:hAnsi="Calibri"/>
          <w:b/>
          <w:sz w:val="22"/>
          <w:szCs w:val="22"/>
        </w:rPr>
      </w:pPr>
    </w:p>
    <w:p w14:paraId="69ACD74B" w14:textId="77777777" w:rsidR="00D93A64" w:rsidRDefault="00D93A64">
      <w:pPr>
        <w:rPr>
          <w:rFonts w:ascii="Calibri" w:hAnsi="Calibri"/>
          <w:b/>
          <w:sz w:val="22"/>
          <w:szCs w:val="22"/>
        </w:rPr>
      </w:pPr>
    </w:p>
    <w:p w14:paraId="26CC3DC7" w14:textId="77777777" w:rsidR="00D93A64" w:rsidRDefault="0000000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_____________________________________</w:t>
      </w:r>
    </w:p>
    <w:p w14:paraId="046AB37E" w14:textId="77777777" w:rsidR="00D93A64" w:rsidRDefault="00000000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Poskytovatel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>Odborný zástupce</w:t>
      </w:r>
    </w:p>
    <w:sectPr w:rsidR="00D93A64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272C1" w14:textId="77777777" w:rsidR="008D024D" w:rsidRDefault="008D024D">
      <w:r>
        <w:separator/>
      </w:r>
    </w:p>
  </w:endnote>
  <w:endnote w:type="continuationSeparator" w:id="0">
    <w:p w14:paraId="2B795C8F" w14:textId="77777777" w:rsidR="008D024D" w:rsidRDefault="008D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950360413"/>
      <w:docPartObj>
        <w:docPartGallery w:val="Page Numbers (Bottom of Page)"/>
        <w:docPartUnique/>
      </w:docPartObj>
    </w:sdtPr>
    <w:sdtContent>
      <w:p w14:paraId="377E1DA2" w14:textId="77777777" w:rsidR="00D93A64" w:rsidRDefault="00000000">
        <w:pPr>
          <w:pStyle w:val="Zpat"/>
          <w:jc w:val="right"/>
          <w:rPr>
            <w:rFonts w:asciiTheme="minorHAnsi" w:hAnsiTheme="minorHAnsi" w:cstheme="minorHAnsi"/>
          </w:rPr>
        </w:pPr>
        <w:r>
          <w:rPr>
            <w:rFonts w:asciiTheme="minorHAnsi" w:hAnsiTheme="minorHAnsi" w:cstheme="minorHAnsi"/>
          </w:rPr>
          <w:fldChar w:fldCharType="begin"/>
        </w:r>
        <w:r>
          <w:rPr>
            <w:rFonts w:asciiTheme="minorHAnsi" w:hAnsiTheme="minorHAnsi" w:cstheme="minorHAnsi"/>
          </w:rPr>
          <w:instrText>PAGE   \* MERGEFORMAT</w:instrText>
        </w:r>
        <w:r>
          <w:rPr>
            <w:rFonts w:asciiTheme="minorHAnsi" w:hAnsiTheme="minorHAnsi" w:cstheme="minorHAnsi"/>
          </w:rPr>
          <w:fldChar w:fldCharType="separate"/>
        </w:r>
        <w:r>
          <w:rPr>
            <w:rFonts w:asciiTheme="minorHAnsi" w:hAnsiTheme="minorHAnsi" w:cstheme="minorHAnsi"/>
            <w:noProof/>
          </w:rPr>
          <w:t>25</w:t>
        </w:r>
        <w:r>
          <w:rPr>
            <w:rFonts w:asciiTheme="minorHAnsi" w:hAnsiTheme="minorHAnsi" w:cstheme="minorHAnsi"/>
          </w:rPr>
          <w:fldChar w:fldCharType="end"/>
        </w:r>
      </w:p>
    </w:sdtContent>
  </w:sdt>
  <w:p w14:paraId="7C43B048" w14:textId="77777777" w:rsidR="00D93A64" w:rsidRDefault="00D93A64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5C698" w14:textId="77777777" w:rsidR="008D024D" w:rsidRDefault="008D024D">
      <w:r>
        <w:separator/>
      </w:r>
    </w:p>
  </w:footnote>
  <w:footnote w:type="continuationSeparator" w:id="0">
    <w:p w14:paraId="5A40B7B0" w14:textId="77777777" w:rsidR="008D024D" w:rsidRDefault="008D0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FDC60" w14:textId="77777777" w:rsidR="00D93A64" w:rsidRDefault="00000000">
    <w:pPr>
      <w:pStyle w:val="Zhlav"/>
    </w:pPr>
    <w:r>
      <w:rPr>
        <w:noProof/>
      </w:rPr>
      <w:drawing>
        <wp:inline distT="0" distB="0" distL="0" distR="0" wp14:anchorId="49ABAA1D" wp14:editId="59AA06BB">
          <wp:extent cx="2023110" cy="570230"/>
          <wp:effectExtent l="0" t="0" r="0" b="1270"/>
          <wp:docPr id="6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Obrázek 6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110" cy="570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42433"/>
    <w:multiLevelType w:val="multilevel"/>
    <w:tmpl w:val="C4B0057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CC7FF4"/>
    <w:multiLevelType w:val="multilevel"/>
    <w:tmpl w:val="02A0F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184F90"/>
    <w:multiLevelType w:val="multilevel"/>
    <w:tmpl w:val="0BD2F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494490"/>
    <w:multiLevelType w:val="hybridMultilevel"/>
    <w:tmpl w:val="D0561892"/>
    <w:lvl w:ilvl="0" w:tplc="089EE464">
      <w:start w:val="1"/>
      <w:numFmt w:val="upperRoman"/>
      <w:pStyle w:val="Nadpis1"/>
      <w:suff w:val="space"/>
      <w:lvlText w:val="%1."/>
      <w:lvlJc w:val="left"/>
      <w:rPr>
        <w:rFonts w:asciiTheme="minorHAnsi" w:hAnsiTheme="min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5" w15:restartNumberingAfterBreak="0">
    <w:nsid w:val="39F51EA7"/>
    <w:multiLevelType w:val="multilevel"/>
    <w:tmpl w:val="A1D286BC"/>
    <w:lvl w:ilvl="0">
      <w:start w:val="1"/>
      <w:numFmt w:val="upperRoman"/>
      <w:pStyle w:val="lnek"/>
      <w:lvlText w:val="%1."/>
      <w:lvlJc w:val="left"/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z w:val="22"/>
      </w:rPr>
    </w:lvl>
    <w:lvl w:ilvl="2">
      <w:start w:val="1"/>
      <w:numFmt w:val="none"/>
      <w:lvlRestart w:val="1"/>
      <w:pStyle w:val="TOdstavecII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6" w15:restartNumberingAfterBreak="0">
    <w:nsid w:val="3B0D3286"/>
    <w:multiLevelType w:val="multilevel"/>
    <w:tmpl w:val="13980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35284E"/>
    <w:multiLevelType w:val="hybridMultilevel"/>
    <w:tmpl w:val="4114F2D4"/>
    <w:lvl w:ilvl="0" w:tplc="46E07B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558AF"/>
    <w:multiLevelType w:val="multilevel"/>
    <w:tmpl w:val="49F6FA3C"/>
    <w:lvl w:ilvl="0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9" w15:restartNumberingAfterBreak="0">
    <w:nsid w:val="4A223688"/>
    <w:multiLevelType w:val="multilevel"/>
    <w:tmpl w:val="49F6FA3C"/>
    <w:lvl w:ilvl="0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0" w15:restartNumberingAfterBreak="0">
    <w:nsid w:val="5DA55D86"/>
    <w:multiLevelType w:val="multilevel"/>
    <w:tmpl w:val="D7F465D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64A6C5D"/>
    <w:multiLevelType w:val="hybridMultilevel"/>
    <w:tmpl w:val="FE48A8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E7A81"/>
    <w:multiLevelType w:val="hybridMultilevel"/>
    <w:tmpl w:val="2C9E1612"/>
    <w:lvl w:ilvl="0" w:tplc="2028E72C">
      <w:start w:val="1"/>
      <w:numFmt w:val="decimal"/>
      <w:suff w:val="nothing"/>
      <w:lvlText w:val="ČÁST %1 - "/>
      <w:lvlJc w:val="left"/>
      <w:pPr>
        <w:ind w:left="0" w:firstLine="0"/>
      </w:pPr>
      <w:rPr>
        <w:rFonts w:ascii="Calibri" w:hAnsi="Calibri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524943">
    <w:abstractNumId w:val="0"/>
  </w:num>
  <w:num w:numId="2" w16cid:durableId="193856533">
    <w:abstractNumId w:val="4"/>
  </w:num>
  <w:num w:numId="3" w16cid:durableId="1382559916">
    <w:abstractNumId w:val="8"/>
  </w:num>
  <w:num w:numId="4" w16cid:durableId="1942302351">
    <w:abstractNumId w:val="12"/>
  </w:num>
  <w:num w:numId="5" w16cid:durableId="108860103">
    <w:abstractNumId w:val="1"/>
  </w:num>
  <w:num w:numId="6" w16cid:durableId="247353326">
    <w:abstractNumId w:val="5"/>
  </w:num>
  <w:num w:numId="7" w16cid:durableId="1952055868">
    <w:abstractNumId w:val="9"/>
  </w:num>
  <w:num w:numId="8" w16cid:durableId="151996311">
    <w:abstractNumId w:val="11"/>
  </w:num>
  <w:num w:numId="9" w16cid:durableId="782309929">
    <w:abstractNumId w:val="7"/>
  </w:num>
  <w:num w:numId="10" w16cid:durableId="622689543">
    <w:abstractNumId w:val="3"/>
  </w:num>
  <w:num w:numId="11" w16cid:durableId="15554600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4612654">
    <w:abstractNumId w:val="6"/>
  </w:num>
  <w:num w:numId="13" w16cid:durableId="1432434126">
    <w:abstractNumId w:val="2"/>
  </w:num>
  <w:num w:numId="14" w16cid:durableId="8867236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A64"/>
    <w:rsid w:val="001F7287"/>
    <w:rsid w:val="00202B0E"/>
    <w:rsid w:val="002E37F2"/>
    <w:rsid w:val="003B63DB"/>
    <w:rsid w:val="003C0086"/>
    <w:rsid w:val="003C40BA"/>
    <w:rsid w:val="003E0C90"/>
    <w:rsid w:val="00563BEF"/>
    <w:rsid w:val="008951FA"/>
    <w:rsid w:val="008D024D"/>
    <w:rsid w:val="00957902"/>
    <w:rsid w:val="00962876"/>
    <w:rsid w:val="00AC31F6"/>
    <w:rsid w:val="00AE6E8C"/>
    <w:rsid w:val="00B30A3D"/>
    <w:rsid w:val="00B34790"/>
    <w:rsid w:val="00B60CBB"/>
    <w:rsid w:val="00BB2984"/>
    <w:rsid w:val="00C40414"/>
    <w:rsid w:val="00D93A64"/>
    <w:rsid w:val="00D97BE3"/>
    <w:rsid w:val="00DE280C"/>
    <w:rsid w:val="00E74D93"/>
    <w:rsid w:val="00ED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2C34D"/>
  <w15:docId w15:val="{BE30D681-F96A-4E13-8AC5-C7DDB0A2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Odstavecseseznamem"/>
    <w:next w:val="Normln"/>
    <w:link w:val="Nadpis1Char"/>
    <w:qFormat/>
    <w:pPr>
      <w:keepNext/>
      <w:keepLines/>
      <w:numPr>
        <w:numId w:val="2"/>
      </w:numPr>
      <w:ind w:left="0"/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Hypertextovodkaz">
    <w:name w:val="Hyperlink"/>
    <w:rPr>
      <w:color w:val="96004E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pPr>
      <w:jc w:val="both"/>
    </w:pPr>
    <w:rPr>
      <w:rFonts w:ascii="Arial Narrow" w:eastAsia="Times New Roman" w:hAnsi="Arial Narrow" w:cs="Times New Roman"/>
      <w:sz w:val="22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5varianta">
    <w:name w:val="5varianta"/>
    <w:basedOn w:val="Normln"/>
    <w:qFormat/>
    <w:pPr>
      <w:keepNext/>
      <w:shd w:val="clear" w:color="auto" w:fill="FFFF00"/>
      <w:spacing w:before="360" w:after="120"/>
      <w:jc w:val="both"/>
    </w:pPr>
    <w:rPr>
      <w:rFonts w:ascii="Calibri" w:eastAsia="Calibri" w:hAnsi="Calibri"/>
      <w:b/>
      <w:i/>
      <w:sz w:val="22"/>
      <w:szCs w:val="22"/>
      <w:u w:val="single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Pr>
      <w:rFonts w:ascii="Calibri" w:eastAsia="Times New Roman" w:hAnsi="Calibri" w:cs="Times New Roman"/>
      <w:b/>
      <w:sz w:val="22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lnek">
    <w:name w:val="Článek"/>
    <w:basedOn w:val="Normln"/>
    <w:next w:val="OdstavecII"/>
    <w:qFormat/>
    <w:pPr>
      <w:keepNext/>
      <w:numPr>
        <w:numId w:val="6"/>
      </w:numPr>
      <w:spacing w:before="600" w:after="360" w:line="276" w:lineRule="auto"/>
      <w:jc w:val="center"/>
      <w:outlineLvl w:val="0"/>
    </w:pPr>
    <w:rPr>
      <w:rFonts w:ascii="Arial Narrow" w:eastAsia="Calibri" w:hAnsi="Arial Narrow"/>
      <w:b/>
      <w:color w:val="000000" w:themeColor="text1"/>
      <w:sz w:val="22"/>
      <w:szCs w:val="22"/>
      <w:lang w:eastAsia="en-US"/>
    </w:rPr>
  </w:style>
  <w:style w:type="paragraph" w:customStyle="1" w:styleId="OdstavecII">
    <w:name w:val="Odstavec_II"/>
    <w:basedOn w:val="Nadpis1"/>
    <w:next w:val="Psmeno"/>
    <w:qFormat/>
    <w:pPr>
      <w:keepLines w:val="0"/>
      <w:numPr>
        <w:ilvl w:val="1"/>
        <w:numId w:val="6"/>
      </w:numPr>
      <w:spacing w:after="120" w:line="276" w:lineRule="auto"/>
      <w:jc w:val="both"/>
    </w:pPr>
    <w:rPr>
      <w:rFonts w:ascii="Arial Narrow" w:eastAsia="Calibri" w:hAnsi="Arial Narrow"/>
      <w:b w:val="0"/>
      <w:color w:val="000000"/>
      <w:szCs w:val="22"/>
      <w:lang w:eastAsia="en-US"/>
    </w:rPr>
  </w:style>
  <w:style w:type="paragraph" w:customStyle="1" w:styleId="Psmeno">
    <w:name w:val="Písmeno"/>
    <w:basedOn w:val="Nadpis1"/>
    <w:qFormat/>
    <w:pPr>
      <w:keepNext w:val="0"/>
      <w:keepLines w:val="0"/>
      <w:widowControl w:val="0"/>
      <w:numPr>
        <w:ilvl w:val="3"/>
        <w:numId w:val="6"/>
      </w:numPr>
      <w:tabs>
        <w:tab w:val="clear" w:pos="855"/>
        <w:tab w:val="num" w:pos="1134"/>
      </w:tabs>
      <w:spacing w:after="120" w:line="276" w:lineRule="auto"/>
      <w:jc w:val="both"/>
    </w:pPr>
    <w:rPr>
      <w:rFonts w:ascii="Arial Narrow" w:eastAsia="Calibri" w:hAnsi="Arial Narrow" w:cs="Arial"/>
      <w:b w:val="0"/>
      <w:bCs/>
      <w:kern w:val="32"/>
      <w:szCs w:val="22"/>
      <w:lang w:eastAsia="cs-CZ"/>
    </w:rPr>
  </w:style>
  <w:style w:type="paragraph" w:customStyle="1" w:styleId="Bod">
    <w:name w:val="Bod"/>
    <w:basedOn w:val="Normln"/>
    <w:next w:val="FormtovanvHTML"/>
    <w:qFormat/>
    <w:pPr>
      <w:numPr>
        <w:ilvl w:val="4"/>
        <w:numId w:val="6"/>
      </w:numPr>
      <w:spacing w:after="120" w:line="276" w:lineRule="auto"/>
      <w:jc w:val="both"/>
    </w:pPr>
    <w:rPr>
      <w:rFonts w:ascii="Arial Narrow" w:hAnsi="Arial Narrow"/>
      <w:snapToGrid w:val="0"/>
      <w:color w:val="000000" w:themeColor="text1"/>
      <w:sz w:val="22"/>
      <w:szCs w:val="22"/>
    </w:rPr>
  </w:style>
  <w:style w:type="paragraph" w:customStyle="1" w:styleId="TOdstavecII">
    <w:name w:val="T_Odstavec_II"/>
    <w:basedOn w:val="OdstavecII"/>
    <w:pPr>
      <w:numPr>
        <w:ilvl w:val="2"/>
      </w:numPr>
    </w:pPr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Pr>
      <w:rFonts w:ascii="Consolas" w:hAnsi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Pr>
      <w:rFonts w:ascii="Consolas" w:eastAsia="Times New Roman" w:hAnsi="Consolas" w:cs="Times New Roman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uiPriority w:val="99"/>
    <w:pPr>
      <w:ind w:left="720"/>
      <w:contextualSpacing/>
    </w:pPr>
    <w:rPr>
      <w:rFonts w:ascii="Calibri" w:eastAsia="Calibri" w:hAnsi="Calibri"/>
    </w:rPr>
  </w:style>
  <w:style w:type="paragraph" w:customStyle="1" w:styleId="Odstavec">
    <w:name w:val="Odstavec"/>
    <w:basedOn w:val="Zkladntext"/>
    <w:pPr>
      <w:widowControl w:val="0"/>
      <w:suppressAutoHyphens/>
      <w:overflowPunct w:val="0"/>
      <w:autoSpaceDE w:val="0"/>
      <w:spacing w:after="0"/>
      <w:ind w:firstLine="539"/>
      <w:jc w:val="both"/>
      <w:textAlignment w:val="baseline"/>
    </w:pPr>
    <w:rPr>
      <w:color w:val="000000"/>
      <w:sz w:val="24"/>
      <w:lang w:val="x-none"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Char">
    <w:name w:val="Nadpis 2 Char Char"/>
    <w:rPr>
      <w:noProof w:val="0"/>
      <w:sz w:val="24"/>
      <w:lang w:val="cs-CZ" w:eastAsia="cs-CZ" w:bidi="ar-SA"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Revize">
    <w:name w:val="Revision"/>
    <w:hidden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customStyle="1" w:styleId="2sltext">
    <w:name w:val="2čísl.text"/>
    <w:basedOn w:val="Zkladntext"/>
    <w:qFormat/>
    <w:pPr>
      <w:numPr>
        <w:ilvl w:val="1"/>
        <w:numId w:val="14"/>
      </w:numPr>
      <w:tabs>
        <w:tab w:val="num" w:pos="360"/>
      </w:tabs>
      <w:spacing w:before="240" w:after="240"/>
      <w:jc w:val="both"/>
    </w:pPr>
    <w:rPr>
      <w:rFonts w:ascii="Calibri" w:hAnsi="Calibri"/>
      <w:bCs/>
      <w:color w:val="000000"/>
      <w:sz w:val="22"/>
      <w:szCs w:val="22"/>
    </w:rPr>
  </w:style>
  <w:style w:type="paragraph" w:customStyle="1" w:styleId="1nadpis">
    <w:name w:val="1nadpis"/>
    <w:basedOn w:val="Normln"/>
    <w:qFormat/>
    <w:pPr>
      <w:keepNext/>
      <w:numPr>
        <w:numId w:val="14"/>
      </w:numPr>
      <w:spacing w:before="520" w:after="260"/>
      <w:jc w:val="both"/>
      <w:outlineLvl w:val="0"/>
    </w:pPr>
    <w:rPr>
      <w:rFonts w:ascii="Arial" w:hAnsi="Arial"/>
      <w:b/>
      <w:bCs/>
      <w:cap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akova@poliklinikazr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671E1733A449808DBDF8EF758BD2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93DFFC-F139-47A1-A86E-98A93B509CF4}"/>
      </w:docPartPr>
      <w:docPartBody>
        <w:p w:rsidR="00046DA1" w:rsidRDefault="00000000">
          <w:pPr>
            <w:pStyle w:val="CE671E1733A449808DBDF8EF758BD26E"/>
          </w:pPr>
          <w:r>
            <w:rPr>
              <w:rStyle w:val="Zstupntext"/>
              <w:highlight w:val="yellow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6DA1"/>
    <w:rsid w:val="00046DA1"/>
    <w:rsid w:val="00202B0E"/>
    <w:rsid w:val="002E37F2"/>
    <w:rsid w:val="0065647D"/>
    <w:rsid w:val="00BF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CE671E1733A449808DBDF8EF758BD26E">
    <w:name w:val="CE671E1733A449808DBDF8EF758BD2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1FB26-D678-4496-8EC5-AEE211AD4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1098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Advokátní kancelář SEDLÁČEK</Company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Sedláček</dc:creator>
  <cp:lastModifiedBy>Ilona Komínková</cp:lastModifiedBy>
  <cp:revision>26</cp:revision>
  <dcterms:created xsi:type="dcterms:W3CDTF">2025-05-20T05:49:00Z</dcterms:created>
  <dcterms:modified xsi:type="dcterms:W3CDTF">2025-06-24T09:05:00Z</dcterms:modified>
</cp:coreProperties>
</file>