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cstheme="minorHAnsi"/>
                <w:b/>
                <w:sz w:val="22"/>
                <w:szCs w:val="22"/>
                <w:lang w:bidi="en-US"/>
              </w:rPr>
              <w:t>Obnova rybníka Velký Žďárský</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Zjednodušené podlimitní řízení</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hAnsiTheme="minorHAnsi" w:cstheme="minorHAnsi"/>
                  <w:sz w:val="22"/>
                  <w:szCs w:val="22"/>
                </w:rPr>
                <w:t>https://zakazky.zdarns.cz/vz00001175</w:t>
              </w:r>
            </w:hyperlink>
            <w:r>
              <w:rPr>
                <w:rFonts w:asciiTheme="minorHAnsi" w:hAnsiTheme="minorHAnsi" w:cstheme="minorHAnsi"/>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Martinem Mrkosem, ACCA, starostou</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pStyle w:val="Zhlav"/>
        <w:jc w:val="right"/>
      </w:pPr>
      <w:r>
        <w:rPr>
          <w:noProof/>
        </w:rPr>
        <w:lastRenderedPageBreak/>
        <w:drawing>
          <wp:anchor distT="0" distB="0" distL="114300" distR="114300" simplePos="0" relativeHeight="251658240" behindDoc="0" locked="0" layoutInCell="1" allowOverlap="1">
            <wp:simplePos x="0" y="0"/>
            <wp:positionH relativeFrom="column">
              <wp:posOffset>52705</wp:posOffset>
            </wp:positionH>
            <wp:positionV relativeFrom="paragraph">
              <wp:posOffset>0</wp:posOffset>
            </wp:positionV>
            <wp:extent cx="1440000" cy="835200"/>
            <wp:effectExtent l="0" t="0" r="0" b="0"/>
            <wp:wrapSquare wrapText="bothSides"/>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anchor>
        </w:drawing>
      </w:r>
      <w:r>
        <w:rPr>
          <w:rFonts w:ascii="Calibri" w:eastAsia="Calibri" w:hAnsi="Calibri" w:cs="Calibri"/>
          <w:i/>
          <w:iCs/>
        </w:rPr>
        <w:t xml:space="preserve"> Číslo Smlouvy Objednatele: </w:t>
      </w:r>
      <w:r>
        <w:rPr>
          <w:rFonts w:ascii="Calibri" w:hAnsi="Calibri" w:cs="Calibri"/>
          <w:bCs/>
          <w:i/>
          <w:iCs/>
          <w:lang w:bidi="en-US"/>
        </w:rPr>
        <w:t>SRI/2025/0865</w:t>
      </w:r>
    </w:p>
    <w:p>
      <w:pPr>
        <w:widowControl w:val="0"/>
        <w:spacing w:after="120"/>
        <w:rPr>
          <w:rFonts w:asciiTheme="minorHAnsi" w:eastAsia="Calibri" w:hAnsiTheme="minorHAnsi" w:cstheme="minorHAnsi"/>
          <w:b/>
          <w:bCs/>
          <w:sz w:val="32"/>
          <w:szCs w:val="32"/>
        </w:rPr>
      </w:pPr>
    </w:p>
    <w:p>
      <w:pPr>
        <w:widowControl w:val="0"/>
        <w:spacing w:after="120"/>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10"/>
          <w:szCs w:val="10"/>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10"/>
          <w:szCs w:val="10"/>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pPr>
        <w:ind w:left="567"/>
        <w:rPr>
          <w:rFonts w:ascii="Calibri" w:hAnsi="Calibri"/>
          <w:color w:val="FF0000"/>
          <w:sz w:val="22"/>
          <w:szCs w:val="22"/>
          <w:lang w:eastAsia="en-US" w:bidi="en-US"/>
        </w:rPr>
      </w:pPr>
      <w:r>
        <w:rPr>
          <w:rFonts w:asciiTheme="minorHAnsi" w:hAnsiTheme="minorHAnsi" w:cstheme="minorHAnsi"/>
          <w:color w:val="FF0000"/>
          <w:sz w:val="22"/>
          <w:szCs w:val="22"/>
          <w:lang w:bidi="en-US"/>
        </w:rPr>
        <w:tab/>
      </w:r>
      <w:r>
        <w:rPr>
          <w:rFonts w:asciiTheme="minorHAnsi" w:hAnsiTheme="minorHAnsi" w:cstheme="minorHAnsi"/>
          <w:color w:val="FF0000"/>
          <w:sz w:val="22"/>
          <w:szCs w:val="22"/>
          <w:lang w:bidi="en-US"/>
        </w:rPr>
        <w:tab/>
      </w:r>
      <w:r>
        <w:rPr>
          <w:rFonts w:asciiTheme="minorHAnsi" w:hAnsiTheme="minorHAnsi" w:cstheme="minorHAnsi"/>
          <w:color w:val="FF0000"/>
          <w:sz w:val="22"/>
          <w:szCs w:val="22"/>
          <w:lang w:bidi="en-US"/>
        </w:rPr>
        <w:tab/>
      </w:r>
      <w:r>
        <w:rPr>
          <w:rFonts w:asciiTheme="minorHAnsi" w:hAnsiTheme="minorHAnsi" w:cstheme="minorHAnsi"/>
          <w:color w:val="FF0000"/>
          <w:sz w:val="22"/>
          <w:szCs w:val="22"/>
          <w:lang w:bidi="en-US"/>
        </w:rPr>
        <w:tab/>
      </w:r>
      <w:r>
        <w:rPr>
          <w:rFonts w:asciiTheme="minorHAnsi" w:hAnsiTheme="minorHAnsi" w:cstheme="minorHAnsi"/>
          <w:color w:val="FF0000"/>
          <w:sz w:val="22"/>
          <w:szCs w:val="22"/>
          <w:lang w:bidi="en-US"/>
        </w:rPr>
        <w:tab/>
      </w:r>
      <w:r>
        <w:rPr>
          <w:rFonts w:asciiTheme="minorHAnsi" w:hAnsiTheme="minorHAnsi" w:cstheme="minorHAnsi"/>
          <w:color w:val="FF0000"/>
          <w:sz w:val="22"/>
          <w:szCs w:val="22"/>
          <w:lang w:bidi="en-US"/>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Hana Sochorová, referentka odboru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strategického rozvoje a investic</w:t>
      </w:r>
    </w:p>
    <w:p>
      <w:pPr>
        <w:ind w:left="567" w:righ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 +420 </w:t>
      </w:r>
      <w:r>
        <w:rPr>
          <w:rFonts w:asciiTheme="minorHAnsi" w:hAnsiTheme="minorHAnsi" w:cstheme="minorHAnsi"/>
          <w:sz w:val="22"/>
          <w:szCs w:val="22"/>
          <w:lang w:bidi="en-US"/>
        </w:rPr>
        <w:t>771 280 604, e-mail: hana.sochorova@zdarns.cz</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bCs/>
          <w:sz w:val="22"/>
          <w:szCs w:val="22"/>
        </w:rPr>
        <w:t>Obnova rybníka Velký Žďárský</w:t>
      </w:r>
      <w:r>
        <w:rPr>
          <w:rFonts w:asciiTheme="minorHAnsi" w:hAnsiTheme="minorHAnsi" w:cstheme="minorHAnsi"/>
          <w:b/>
          <w:bCs/>
          <w:i/>
          <w:sz w:val="22"/>
          <w:szCs w:val="22"/>
        </w:rPr>
        <w:t xml:space="preserve">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Dílo dle Smlouvy je financováno </w:t>
      </w:r>
      <w:r>
        <w:rPr>
          <w:rFonts w:ascii="Calibri" w:hAnsi="Calibri"/>
          <w:sz w:val="22"/>
          <w:szCs w:val="22"/>
          <w:lang w:eastAsia="en-US" w:bidi="en-US"/>
        </w:rPr>
        <w:t xml:space="preserve">z prostředků Integrovaného regionálního operačního programu, prostřednictvím výzvy č. 64 </w:t>
      </w:r>
      <w:proofErr w:type="gramStart"/>
      <w:r>
        <w:rPr>
          <w:rFonts w:ascii="Calibri" w:hAnsi="Calibri"/>
          <w:sz w:val="22"/>
          <w:szCs w:val="22"/>
          <w:lang w:eastAsia="en-US" w:bidi="en-US"/>
        </w:rPr>
        <w:t>Zelená</w:t>
      </w:r>
      <w:proofErr w:type="gramEnd"/>
      <w:r>
        <w:rPr>
          <w:rFonts w:ascii="Calibri" w:hAnsi="Calibri"/>
          <w:sz w:val="22"/>
          <w:szCs w:val="22"/>
          <w:lang w:eastAsia="en-US" w:bidi="en-US"/>
        </w:rPr>
        <w:t xml:space="preserve"> infrastruktura – SC 2.2 (PR) (dále jen „</w:t>
      </w:r>
      <w:r>
        <w:rPr>
          <w:rFonts w:ascii="Calibri" w:hAnsi="Calibri"/>
          <w:b/>
          <w:i/>
          <w:sz w:val="22"/>
          <w:szCs w:val="22"/>
          <w:lang w:eastAsia="en-US" w:bidi="en-US"/>
        </w:rPr>
        <w:t>Program</w:t>
      </w:r>
      <w:r>
        <w:rPr>
          <w:rFonts w:ascii="Calibri" w:hAnsi="Calibri"/>
          <w:sz w:val="22"/>
          <w:szCs w:val="22"/>
          <w:lang w:eastAsia="en-US" w:bidi="en-US"/>
        </w:rPr>
        <w:t>”), v rámci dotačního projektu s názvem „</w:t>
      </w:r>
      <w:proofErr w:type="spellStart"/>
      <w:r>
        <w:rPr>
          <w:rFonts w:ascii="Calibri" w:hAnsi="Calibri"/>
          <w:sz w:val="22"/>
          <w:szCs w:val="22"/>
          <w:lang w:eastAsia="en-US" w:bidi="en-US"/>
        </w:rPr>
        <w:t>Ekopark</w:t>
      </w:r>
      <w:proofErr w:type="spellEnd"/>
      <w:r>
        <w:rPr>
          <w:rFonts w:ascii="Calibri" w:hAnsi="Calibri"/>
          <w:sz w:val="22"/>
          <w:szCs w:val="22"/>
          <w:lang w:eastAsia="en-US" w:bidi="en-US"/>
        </w:rPr>
        <w:t>: Velký Žďárský“, registrační číslo projektu: CZ.06.02.02/00/22_064/0004276 (dále jen „</w:t>
      </w:r>
      <w:r>
        <w:rPr>
          <w:rFonts w:ascii="Calibri" w:hAnsi="Calibri"/>
          <w:b/>
          <w:i/>
          <w:sz w:val="22"/>
          <w:szCs w:val="22"/>
          <w:lang w:eastAsia="en-US" w:bidi="en-US"/>
        </w:rPr>
        <w:t>Projekt</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primárně sleduje zvýšení úrovně protipovodňové ochrany a zajištění dobrého technického stavu všech objektů vodohospodářské stavby. Sekundárním cílem je posílení rekreačního potenciálu vodní nádrže.</w:t>
      </w:r>
    </w:p>
    <w:p>
      <w:pPr>
        <w:widowControl w:val="0"/>
        <w:tabs>
          <w:tab w:val="left" w:pos="2835"/>
        </w:tabs>
        <w:spacing w:after="120"/>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r>
        <w:rPr>
          <w:rFonts w:ascii="Calibri" w:hAnsi="Calibri"/>
          <w:color w:val="000000"/>
          <w:sz w:val="22"/>
          <w:szCs w:val="22"/>
        </w:rPr>
        <w:t xml:space="preserve">Předmětem Díla jsou stavby </w:t>
      </w:r>
      <w:r>
        <w:rPr>
          <w:rFonts w:asciiTheme="minorHAnsi" w:hAnsiTheme="minorHAnsi" w:cstheme="minorHAnsi"/>
          <w:bCs/>
          <w:sz w:val="22"/>
          <w:szCs w:val="22"/>
          <w:lang w:bidi="en-US"/>
        </w:rPr>
        <w:t xml:space="preserve">„Rekonstrukce rybníka Velký Žďárský“ a „Doplnění vybavenosti v okolí Velkého Žďárského rybníka“, a to dle </w:t>
      </w:r>
      <w:r>
        <w:rPr>
          <w:rFonts w:ascii="Calibri" w:hAnsi="Calibri"/>
          <w:sz w:val="22"/>
          <w:szCs w:val="22"/>
        </w:rPr>
        <w:t xml:space="preserve">dále specifikovaných projektových </w:t>
      </w:r>
      <w:r>
        <w:rPr>
          <w:rFonts w:asciiTheme="minorHAnsi" w:hAnsiTheme="minorHAnsi" w:cstheme="minorHAnsi"/>
          <w:sz w:val="22"/>
          <w:szCs w:val="22"/>
        </w:rPr>
        <w:t>dokumentací a dle podmínek stanovených v orgány veřejné správy vydaných vyjádřeních, stanoviscích a rozhodnutích, a dále dle podmínek stanovených Smlouvou, a to včetně všech souvisejících prací, dodávek a služeb.</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Dílo je blíže </w:t>
      </w:r>
      <w:r>
        <w:rPr>
          <w:rFonts w:ascii="Calibri" w:hAnsi="Calibri"/>
          <w:sz w:val="22"/>
          <w:szCs w:val="22"/>
        </w:rPr>
        <w:t>specifikováno v projektové dokumentaci zpracované</w:t>
      </w:r>
    </w:p>
    <w:p>
      <w:pPr>
        <w:pStyle w:val="Odstavecseseznamem"/>
        <w:rPr>
          <w:rFonts w:ascii="Calibri" w:hAnsi="Calibri"/>
          <w:sz w:val="22"/>
          <w:szCs w:val="22"/>
        </w:rPr>
      </w:pPr>
    </w:p>
    <w:p>
      <w:pPr>
        <w:pStyle w:val="Odstavecseseznamem"/>
        <w:numPr>
          <w:ilvl w:val="1"/>
          <w:numId w:val="3"/>
        </w:numPr>
        <w:jc w:val="both"/>
        <w:rPr>
          <w:rFonts w:asciiTheme="minorHAnsi" w:hAnsiTheme="minorHAnsi" w:cstheme="minorHAnsi"/>
          <w:sz w:val="22"/>
          <w:szCs w:val="22"/>
        </w:rPr>
      </w:pPr>
      <w:r>
        <w:rPr>
          <w:rFonts w:ascii="Calibri" w:hAnsi="Calibri"/>
          <w:sz w:val="22"/>
          <w:szCs w:val="22"/>
        </w:rPr>
        <w:t>AGROPROJEKT PSO s.r.o., se sídlem Slavíčkova 840/</w:t>
      </w:r>
      <w:proofErr w:type="gramStart"/>
      <w:r>
        <w:rPr>
          <w:rFonts w:ascii="Calibri" w:hAnsi="Calibri"/>
          <w:sz w:val="22"/>
          <w:szCs w:val="22"/>
        </w:rPr>
        <w:t>1b</w:t>
      </w:r>
      <w:proofErr w:type="gramEnd"/>
      <w:r>
        <w:rPr>
          <w:rFonts w:ascii="Calibri" w:hAnsi="Calibri"/>
          <w:sz w:val="22"/>
          <w:szCs w:val="22"/>
        </w:rPr>
        <w:t>, Lesná, 638 00 Brno, IČO: 41601483</w:t>
      </w:r>
      <w:r>
        <w:rPr>
          <w:rFonts w:asciiTheme="minorHAnsi" w:hAnsiTheme="minorHAnsi" w:cstheme="minorHAnsi"/>
          <w:bCs/>
          <w:sz w:val="22"/>
          <w:szCs w:val="22"/>
          <w:lang w:bidi="en-US"/>
        </w:rPr>
        <w:t xml:space="preserve"> v 10/2023</w:t>
      </w:r>
      <w:r>
        <w:rPr>
          <w:rFonts w:ascii="Calibri" w:hAnsi="Calibri"/>
          <w:sz w:val="22"/>
          <w:szCs w:val="22"/>
          <w:lang w:eastAsia="en-US" w:bidi="en-US"/>
        </w:rPr>
        <w:t xml:space="preserve">, </w:t>
      </w:r>
      <w:r>
        <w:rPr>
          <w:rFonts w:ascii="Calibri" w:hAnsi="Calibri"/>
          <w:sz w:val="22"/>
          <w:szCs w:val="22"/>
        </w:rPr>
        <w:t>označené názvem: Rekonstrukce rybníka Velký Žďárský</w:t>
      </w:r>
      <w:r>
        <w:rPr>
          <w:rFonts w:ascii="Calibri" w:hAnsi="Calibri"/>
          <w:sz w:val="22"/>
          <w:szCs w:val="22"/>
          <w:highlight w:val="lightGray"/>
        </w:rPr>
        <w:t xml:space="preserve"> </w:t>
      </w:r>
    </w:p>
    <w:p>
      <w:pPr>
        <w:pStyle w:val="Odstavecseseznamem"/>
        <w:numPr>
          <w:ilvl w:val="1"/>
          <w:numId w:val="3"/>
        </w:numPr>
        <w:jc w:val="both"/>
        <w:rPr>
          <w:rFonts w:asciiTheme="minorHAnsi" w:hAnsiTheme="minorHAnsi" w:cstheme="minorHAnsi"/>
          <w:sz w:val="22"/>
          <w:szCs w:val="22"/>
        </w:rPr>
      </w:pPr>
      <w:r>
        <w:rPr>
          <w:rFonts w:ascii="Calibri" w:hAnsi="Calibri"/>
          <w:sz w:val="22"/>
          <w:szCs w:val="22"/>
        </w:rPr>
        <w:t xml:space="preserve">Mgr. Ing. Lucie Radilová, DiS., se sídlem Elišky Přemyslovny 634/50, 625 00, </w:t>
      </w:r>
      <w:proofErr w:type="gramStart"/>
      <w:r>
        <w:rPr>
          <w:rFonts w:ascii="Calibri" w:hAnsi="Calibri"/>
          <w:sz w:val="22"/>
          <w:szCs w:val="22"/>
        </w:rPr>
        <w:t>Brno - Bohunice</w:t>
      </w:r>
      <w:proofErr w:type="gramEnd"/>
      <w:r>
        <w:rPr>
          <w:rFonts w:ascii="Calibri" w:hAnsi="Calibri"/>
          <w:sz w:val="22"/>
          <w:szCs w:val="22"/>
        </w:rPr>
        <w:t xml:space="preserve">, IČO: 75518872 </w:t>
      </w:r>
      <w:r>
        <w:rPr>
          <w:rFonts w:asciiTheme="minorHAnsi" w:hAnsiTheme="minorHAnsi" w:cstheme="minorHAnsi"/>
          <w:bCs/>
          <w:sz w:val="22"/>
          <w:szCs w:val="22"/>
          <w:lang w:bidi="en-US"/>
        </w:rPr>
        <w:t>v 09/2024</w:t>
      </w:r>
      <w:r>
        <w:rPr>
          <w:rFonts w:ascii="Calibri" w:hAnsi="Calibri"/>
          <w:sz w:val="22"/>
          <w:szCs w:val="22"/>
          <w:lang w:eastAsia="en-US" w:bidi="en-US"/>
        </w:rPr>
        <w:t xml:space="preserve">, </w:t>
      </w:r>
      <w:r>
        <w:rPr>
          <w:rFonts w:ascii="Calibri" w:hAnsi="Calibri"/>
          <w:sz w:val="22"/>
          <w:szCs w:val="22"/>
        </w:rPr>
        <w:t xml:space="preserve">označené názvem: </w:t>
      </w:r>
      <w:r>
        <w:rPr>
          <w:rFonts w:ascii="Arial" w:hAnsi="Arial" w:cs="Arial"/>
          <w:bCs/>
          <w:szCs w:val="22"/>
        </w:rPr>
        <w:t>Doplnění vybavenosti v okolí Velkého Žďárského rybníka</w:t>
      </w:r>
    </w:p>
    <w:p>
      <w:pPr>
        <w:pStyle w:val="Odstavecseseznamem"/>
        <w:ind w:left="567"/>
        <w:jc w:val="both"/>
        <w:rPr>
          <w:rFonts w:asciiTheme="minorHAnsi" w:hAnsiTheme="minorHAnsi" w:cstheme="minorHAns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Projektová dokumentace</w:t>
      </w:r>
      <w:r>
        <w:rPr>
          <w:rFonts w:ascii="Calibri" w:hAnsi="Calibri"/>
          <w:i/>
          <w:sz w:val="22"/>
          <w:szCs w:val="22"/>
        </w:rPr>
        <w:t>“</w:t>
      </w:r>
      <w:r>
        <w:rPr>
          <w:rFonts w:ascii="Calibri" w:hAnsi="Calibri"/>
          <w:sz w:val="22"/>
          <w:szCs w:val="22"/>
        </w:rPr>
        <w:t xml:space="preserve"> a zpracovatel projektové dokumentace dále jako </w:t>
      </w:r>
      <w:r>
        <w:rPr>
          <w:rFonts w:ascii="Calibri" w:hAnsi="Calibri"/>
          <w:i/>
          <w:sz w:val="22"/>
          <w:szCs w:val="22"/>
        </w:rPr>
        <w:t>„</w:t>
      </w:r>
      <w:r>
        <w:rPr>
          <w:rFonts w:ascii="Calibri" w:hAnsi="Calibri"/>
          <w:b/>
          <w:i/>
          <w:sz w:val="22"/>
          <w:szCs w:val="22"/>
        </w:rPr>
        <w:t>Projektant stavby</w:t>
      </w:r>
      <w:r>
        <w:rPr>
          <w:rFonts w:ascii="Calibri" w:hAnsi="Calibri"/>
          <w:i/>
          <w:sz w:val="22"/>
          <w:szCs w:val="22"/>
        </w:rPr>
        <w:t>“</w:t>
      </w:r>
      <w:r>
        <w:rPr>
          <w:rFonts w:ascii="Calibri" w:hAnsi="Calibri"/>
          <w:sz w:val="22"/>
          <w:szCs w:val="22"/>
        </w:rPr>
        <w:t>), která je přílohou č. 1A a 1B Smlouvy.</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lastRenderedPageBreak/>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Rozsah a kvalita Díla jsou dále dány příslušnými ČSN, ČSN EN, právními předpisy platnými a účinnými v době provádění Díla, a dále zejména podmínkami stanovenými povolením záměru a dalšími rozhodnutími a vyjádřeními dotčených orgánů veřejné správy a správců inženýrských sítí týkajícími se Díla, a dalšími podmínkami Objednatele sjednanými ve Smlouvě.</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je povinen v rámci plnění dle Smlouvy provést veškeré práce, dodávky, a služby, kterých je třeba trvale nebo dočasně k zahájení, provádění, dokončení a předání Díla, pro vydání kolaudačního rozhodnutí Díla a k uvedení Díla do trvalého provozu (např. zajištění skládky přebytečného materiálu, odvoz tohoto materiálu na skládku, zajištění veškerých zkoušek, revizí, atestů, měření a prohlášení o shodě potřebných k vydání kolaudačního rozhodnutí pro Dílo, odstranění zařízení staveniště apod.).</w:t>
      </w:r>
    </w:p>
    <w:p>
      <w:pPr>
        <w:pStyle w:val="Odstavecseseznamem"/>
        <w:ind w:left="567"/>
        <w:jc w:val="both"/>
      </w:pPr>
    </w:p>
    <w:p>
      <w:pPr>
        <w:pStyle w:val="Odstavecseseznamem"/>
        <w:numPr>
          <w:ilvl w:val="0"/>
          <w:numId w:val="3"/>
        </w:numPr>
        <w:jc w:val="both"/>
      </w:pPr>
      <w:r>
        <w:rPr>
          <w:rFonts w:ascii="Calibri" w:hAnsi="Calibri"/>
          <w:sz w:val="22"/>
          <w:szCs w:val="22"/>
        </w:rPr>
        <w:t xml:space="preserve">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w:t>
      </w:r>
      <w:r>
        <w:rPr>
          <w:rFonts w:ascii="Calibri" w:hAnsi="Calibri"/>
          <w:i/>
          <w:sz w:val="22"/>
          <w:szCs w:val="22"/>
        </w:rPr>
        <w:t>„</w:t>
      </w:r>
      <w:r>
        <w:rPr>
          <w:rFonts w:ascii="Calibri" w:hAnsi="Calibri"/>
          <w:b/>
          <w:i/>
          <w:sz w:val="22"/>
          <w:szCs w:val="22"/>
        </w:rPr>
        <w:t>TDS</w:t>
      </w:r>
      <w:r>
        <w:rPr>
          <w:rFonts w:ascii="Calibri" w:hAnsi="Calibri"/>
          <w:i/>
          <w:sz w:val="22"/>
          <w:szCs w:val="22"/>
        </w:rPr>
        <w:t>“</w:t>
      </w:r>
      <w:r>
        <w:rPr>
          <w:rFonts w:ascii="Calibri" w:hAnsi="Calibri"/>
          <w:sz w:val="22"/>
          <w:szCs w:val="22"/>
        </w:rPr>
        <w:t xml:space="preserve">) dodacím listem, certifikátem nebo prohlášením o shodě od používaných </w:t>
      </w:r>
      <w:r>
        <w:rPr>
          <w:rFonts w:ascii="Calibri" w:hAnsi="Calibri"/>
          <w:sz w:val="22"/>
          <w:szCs w:val="22"/>
        </w:rPr>
        <w:lastRenderedPageBreak/>
        <w:t>materiálů vystavenými příslušným výrobcem. Tyto dokumenty je Zhotovitel povinen předložit Objednateli nebo TDS před zabudováním příslušných materiálů do Díla.</w:t>
      </w:r>
    </w:p>
    <w:p>
      <w:pPr>
        <w:pStyle w:val="Odstavecseseznamem"/>
      </w:pPr>
    </w:p>
    <w:p>
      <w:pPr>
        <w:numPr>
          <w:ilvl w:val="0"/>
          <w:numId w:val="3"/>
        </w:numPr>
        <w:jc w:val="both"/>
        <w:rPr>
          <w:rFonts w:ascii="Calibri" w:hAnsi="Calibri"/>
          <w:sz w:val="22"/>
          <w:szCs w:val="22"/>
        </w:rPr>
      </w:pPr>
      <w:r>
        <w:rPr>
          <w:rFonts w:ascii="Calibri" w:hAnsi="Calibr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pStyle w:val="Odstavecseseznamem"/>
        <w:rPr>
          <w:rFonts w:ascii="Calibri" w:hAnsi="Calibri"/>
          <w:sz w:val="22"/>
          <w:szCs w:val="22"/>
        </w:rPr>
      </w:pPr>
    </w:p>
    <w:p>
      <w:pPr>
        <w:numPr>
          <w:ilvl w:val="0"/>
          <w:numId w:val="3"/>
        </w:numPr>
        <w:jc w:val="both"/>
        <w:rPr>
          <w:rFonts w:ascii="Calibri" w:hAnsi="Calibri"/>
          <w:sz w:val="22"/>
          <w:szCs w:val="22"/>
        </w:rPr>
      </w:pPr>
      <w:bookmarkStart w:id="0" w:name="_Ref203369635"/>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bookmarkEnd w:id="0"/>
    </w:p>
    <w:p>
      <w:pPr>
        <w:pStyle w:val="Odstavecseseznamem"/>
        <w:rPr>
          <w:rFonts w:ascii="Arial" w:hAnsi="Arial" w:cs="Arial"/>
          <w:i/>
          <w:iCs/>
          <w:color w:val="70AD47" w:themeColor="accent6"/>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PODMÍNKY PLNĚNÍ PŘEDMĚTU SMLOUVY</w:t>
      </w:r>
    </w:p>
    <w:p>
      <w:pPr>
        <w:numPr>
          <w:ilvl w:val="0"/>
          <w:numId w:val="3"/>
        </w:numPr>
        <w:jc w:val="both"/>
        <w:rPr>
          <w:rFonts w:ascii="Calibri" w:hAnsi="Calibri"/>
          <w:sz w:val="22"/>
          <w:szCs w:val="22"/>
        </w:rPr>
      </w:pPr>
      <w:bookmarkStart w:id="1" w:name="_Ref391982028"/>
      <w:r>
        <w:rPr>
          <w:rFonts w:ascii="Calibri" w:hAnsi="Calibri"/>
          <w:bCs/>
          <w:sz w:val="22"/>
          <w:szCs w:val="22"/>
        </w:rPr>
        <w:t>Zhotovitel je povinen provádět Dílo osobami, jimiž v rámci Řízení veřejné zakázky prokazoval splnění kvalifikace:</w:t>
      </w:r>
      <w:bookmarkEnd w:id="1"/>
    </w:p>
    <w:p>
      <w:pPr>
        <w:numPr>
          <w:ilvl w:val="1"/>
          <w:numId w:val="3"/>
        </w:numPr>
        <w:tabs>
          <w:tab w:val="left" w:pos="7938"/>
        </w:tabs>
        <w:jc w:val="both"/>
        <w:rPr>
          <w:rFonts w:ascii="Calibri" w:hAnsi="Calibri"/>
          <w:sz w:val="22"/>
          <w:szCs w:val="22"/>
        </w:rPr>
      </w:pPr>
      <w:r>
        <w:rPr>
          <w:rFonts w:ascii="Calibri" w:hAnsi="Calibri"/>
          <w:bCs/>
          <w:sz w:val="22"/>
          <w:szCs w:val="22"/>
        </w:rPr>
        <w:t>Hlavní 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 jméno, příjemní, titul, kontaktní telefon a e-mail]"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Objednatel je oprávněn požadovat a Zhotovitel je povinen zabezpečit změnu Člena realizačního týmu, pokud je jeho činnost nedostatečná nebo neuspokojivá, zejména v případech, kdy:</w:t>
      </w:r>
    </w:p>
    <w:p>
      <w:pPr>
        <w:numPr>
          <w:ilvl w:val="1"/>
          <w:numId w:val="3"/>
        </w:numPr>
        <w:suppressAutoHyphens/>
        <w:jc w:val="both"/>
        <w:rPr>
          <w:rFonts w:ascii="Calibri" w:hAnsi="Calibri"/>
          <w:sz w:val="22"/>
          <w:szCs w:val="22"/>
        </w:rPr>
      </w:pPr>
      <w:r>
        <w:rPr>
          <w:rFonts w:ascii="Calibri" w:hAnsi="Calibri"/>
          <w:sz w:val="22"/>
          <w:szCs w:val="22"/>
        </w:rPr>
        <w:t>kontrola, obecná bezpečnost, organizace a koordinace provádění Díla nejsou dostatečné nebo uspokojivé;</w:t>
      </w:r>
    </w:p>
    <w:p>
      <w:pPr>
        <w:numPr>
          <w:ilvl w:val="1"/>
          <w:numId w:val="3"/>
        </w:numPr>
        <w:suppressAutoHyphens/>
        <w:jc w:val="both"/>
        <w:rPr>
          <w:rFonts w:ascii="Calibri" w:hAnsi="Calibri"/>
          <w:sz w:val="22"/>
          <w:szCs w:val="22"/>
        </w:rPr>
      </w:pPr>
      <w:r>
        <w:rPr>
          <w:rFonts w:ascii="Calibri" w:hAnsi="Calibri"/>
          <w:sz w:val="22"/>
          <w:szCs w:val="22"/>
        </w:rPr>
        <w:t>kvalita stavebních prací, dodávek a služeb neodpovídá požadavkům Smlouvy;</w:t>
      </w:r>
    </w:p>
    <w:p>
      <w:pPr>
        <w:numPr>
          <w:ilvl w:val="1"/>
          <w:numId w:val="3"/>
        </w:numPr>
        <w:suppressAutoHyphens/>
        <w:jc w:val="both"/>
        <w:rPr>
          <w:rFonts w:ascii="Calibri" w:hAnsi="Calibri"/>
          <w:sz w:val="22"/>
          <w:szCs w:val="22"/>
        </w:rPr>
      </w:pPr>
      <w:r>
        <w:rPr>
          <w:rFonts w:ascii="Calibri" w:hAnsi="Calibri"/>
          <w:sz w:val="22"/>
          <w:szCs w:val="22"/>
        </w:rPr>
        <w:t xml:space="preserve">nejsou vykonávány pokyny Objednatele, TDS nebo autorského dozoru Projektanta stavby (dále jen </w:t>
      </w:r>
      <w:r>
        <w:rPr>
          <w:rFonts w:ascii="Calibri" w:hAnsi="Calibri"/>
          <w:i/>
          <w:sz w:val="22"/>
          <w:szCs w:val="22"/>
        </w:rPr>
        <w:t>„</w:t>
      </w:r>
      <w:r>
        <w:rPr>
          <w:rFonts w:ascii="Calibri" w:hAnsi="Calibri"/>
          <w:b/>
          <w:i/>
          <w:sz w:val="22"/>
          <w:szCs w:val="22"/>
        </w:rPr>
        <w:t>AD</w:t>
      </w:r>
      <w:r>
        <w:rPr>
          <w:rFonts w:ascii="Calibri" w:hAnsi="Calibri"/>
          <w:i/>
          <w:sz w:val="22"/>
          <w:szCs w:val="22"/>
        </w:rPr>
        <w:t>“)</w:t>
      </w:r>
      <w:r>
        <w:rPr>
          <w:rFonts w:ascii="Calibri" w:hAnsi="Calibri"/>
          <w:sz w:val="22"/>
          <w:szCs w:val="22"/>
        </w:rPr>
        <w:t>;</w:t>
      </w:r>
    </w:p>
    <w:p>
      <w:pPr>
        <w:numPr>
          <w:ilvl w:val="1"/>
          <w:numId w:val="3"/>
        </w:numPr>
        <w:suppressAutoHyphens/>
        <w:jc w:val="both"/>
        <w:rPr>
          <w:rFonts w:ascii="Calibri" w:hAnsi="Calibri"/>
          <w:sz w:val="22"/>
          <w:szCs w:val="22"/>
        </w:rPr>
      </w:pPr>
      <w:r>
        <w:rPr>
          <w:rFonts w:ascii="Calibri" w:hAnsi="Calibri"/>
          <w:sz w:val="22"/>
          <w:szCs w:val="22"/>
        </w:rPr>
        <w:t>bude dán jiný závažný důvod pro změnu Člena realizačního týmu.</w:t>
      </w:r>
    </w:p>
    <w:p>
      <w:pPr>
        <w:suppressAutoHyphens/>
        <w:ind w:left="567"/>
        <w:jc w:val="both"/>
        <w:rPr>
          <w:rFonts w:ascii="Calibri" w:hAnsi="Calibri"/>
          <w:sz w:val="22"/>
          <w:szCs w:val="22"/>
        </w:rPr>
      </w:pPr>
      <w:r>
        <w:rPr>
          <w:rFonts w:ascii="Calibri" w:hAnsi="Calibri"/>
          <w:sz w:val="22"/>
          <w:szCs w:val="22"/>
        </w:rPr>
        <w:t xml:space="preserve">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20</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2" w:name="_Ref433119755"/>
      <w:r>
        <w:rPr>
          <w:rFonts w:ascii="Calibri" w:hAnsi="Calibri"/>
          <w:sz w:val="22"/>
          <w:szCs w:val="22"/>
        </w:rPr>
        <w:t xml:space="preserve">Zhotovitel je oprávněn změnit Člena, resp. Členy realizačního týmu z důvodů na straně Zhotovitele pouze s předchozím písemným souhlasem Objednatele. Objednatel vydá písemný </w:t>
      </w:r>
      <w:r>
        <w:rPr>
          <w:rFonts w:ascii="Calibri" w:hAnsi="Calibri"/>
          <w:sz w:val="22"/>
          <w:szCs w:val="22"/>
        </w:rPr>
        <w:lastRenderedPageBreak/>
        <w:t>souhlas se změnou do 5 dnů od doručení žádosti Zhotovitele. Objednatel souhlas se změnou nevydá, pokud:</w:t>
      </w:r>
      <w:bookmarkEnd w:id="2"/>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plnit veškeré povinnosti uložené stavebníkovi stavby platnými právními předpisy, zejména vést ode dne prvního převzetí staveniště stavební deník v souladu se zákonem </w:t>
      </w:r>
      <w:r>
        <w:rPr>
          <w:rFonts w:asciiTheme="minorHAnsi" w:hAnsiTheme="minorHAnsi" w:cstheme="minorHAnsi"/>
          <w:sz w:val="22"/>
          <w:szCs w:val="22"/>
        </w:rPr>
        <w:t>č. 283/2021 Sb., stavební zákon, ve znění pozdějších předpisů (dále jen „</w:t>
      </w:r>
      <w:r>
        <w:rPr>
          <w:rFonts w:asciiTheme="minorHAnsi" w:hAnsiTheme="minorHAnsi" w:cstheme="minorHAnsi"/>
          <w:b/>
          <w:i/>
          <w:sz w:val="22"/>
          <w:szCs w:val="22"/>
        </w:rPr>
        <w:t>Stavební zákon</w:t>
      </w:r>
      <w:r>
        <w:rPr>
          <w:rFonts w:asciiTheme="minorHAnsi" w:hAnsiTheme="minorHAnsi" w:cstheme="minorHAnsi"/>
          <w:sz w:val="22"/>
          <w:szCs w:val="22"/>
        </w:rPr>
        <w:t>“), a souvisejících platných a účinných prováděcích předpisů.</w:t>
      </w:r>
    </w:p>
    <w:p>
      <w:pPr>
        <w:pStyle w:val="Odstavecseseznamem"/>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výslovně utvrzují, že záznamy ve stavebním deníku se nepovažují za změnu Smlouvy a že jimi nelze sjednat ani změnu Díla s výjimkou změn jejichž provedení z objektivních důvodů nesnese odkladu.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Do stavebního deníku budou zaznamenávány významné události o průběhu realizace Díla. Stavební deník bude k dispozici </w:t>
      </w:r>
      <w:bookmarkStart w:id="6" w:name="_Toc305060835"/>
      <w:bookmarkStart w:id="7" w:name="_Toc305061329"/>
      <w:r>
        <w:rPr>
          <w:rFonts w:ascii="Calibri" w:hAnsi="Calibri"/>
          <w:sz w:val="22"/>
          <w:szCs w:val="22"/>
        </w:rPr>
        <w:t>kdykoliv v průběhu pracovní doby osobám oprávněným provádět zápisy za Objednatele, případně jiným osobám oprávněným do stavebního deníku zapisovat</w:t>
      </w:r>
      <w:bookmarkEnd w:id="6"/>
      <w:bookmarkEnd w:id="7"/>
      <w:r>
        <w:rPr>
          <w:rFonts w:ascii="Calibri" w:hAnsi="Calibri"/>
          <w:sz w:val="22"/>
          <w:szCs w:val="22"/>
        </w:rPr>
        <w:t xml:space="preserve">, v místě plnění Díla s tím, že Objednatel je oprávněn kontrolovat Zhotovitelem provedené zápisy a provádět zápisy svých požadavků, případně připomínek ke Zhotovitelem provedeným zápisům.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Do stavebního deníku jsou oprávněni provádět zápisy za Objednatele TDS, zástupci Objednatele ve věcech technických a AD, za Zhotovitele potom jeho oprávnění pracovníci nebo zástupci. Objednatel, TDS a AD jsou oprávněni kontrolovat obsah stavebního deníku a nejméně jednou za týden potvrdit kontrolu svým podpisem a k zápisům připojit své stanovisko.</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zjištěno, že některé z prací, které jsou součástí Projektové dokumentace, není účelné provádět, sepíše se o tom záznam do stavebního deníku.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lastRenderedPageBreak/>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informovat Objednatele o stavu rozpracovaného Díla na pravidelných </w:t>
      </w:r>
      <w:r>
        <w:rPr>
          <w:rFonts w:asciiTheme="minorHAnsi" w:hAnsiTheme="minorHAnsi" w:cstheme="minorHAnsi"/>
          <w:sz w:val="22"/>
          <w:szCs w:val="22"/>
        </w:rPr>
        <w:t xml:space="preserve">poradách (tzv. kontrolních dnech), které bude Objednatel organizovat podle potřeby, nejméně jednou za </w:t>
      </w:r>
      <w:sdt>
        <w:sdtPr>
          <w:rPr>
            <w:rFonts w:asciiTheme="minorHAnsi" w:hAnsiTheme="minorHAnsi" w:cstheme="minorHAns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Theme="minorHAnsi" w:hAnsiTheme="minorHAnsi" w:cstheme="minorHAnsi"/>
              <w:sz w:val="22"/>
              <w:szCs w:val="22"/>
            </w:rPr>
            <w:t>14</w:t>
          </w:r>
        </w:sdtContent>
      </w:sdt>
      <w:r>
        <w:rPr>
          <w:rFonts w:asciiTheme="minorHAnsi" w:hAnsiTheme="minorHAnsi" w:cstheme="minorHAns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8"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Výzvu ke kontrole je Zhotovitel povinen učinit telefonicky a písemně ve stavebním deníku minimálně </w:t>
      </w:r>
      <w:sdt>
        <w:sdtPr>
          <w:rPr>
            <w:rFonts w:asciiTheme="minorHAnsi" w:hAnsiTheme="minorHAnsi" w:cstheme="minorHAnsi"/>
            <w:sz w:val="22"/>
            <w:szCs w:val="22"/>
          </w:rPr>
          <w:id w:val="-1856949208"/>
          <w:placeholder>
            <w:docPart w:val="7C99E8CD363941C98F67E7EC22976F74"/>
          </w:placeholder>
          <w:comboBox>
            <w:listItem w:value="Zvolte položku."/>
            <w:listItem w:displayText="3 pracovní dny" w:value="3 pracovní dny"/>
            <w:listItem w:displayText="5 pracovních dnů" w:value="5 pracovních dnů"/>
          </w:comboBox>
        </w:sdtPr>
        <w:sdtContent>
          <w:r>
            <w:rPr>
              <w:rFonts w:asciiTheme="minorHAnsi" w:hAnsiTheme="minorHAnsi" w:cstheme="minorHAnsi"/>
              <w:sz w:val="22"/>
              <w:szCs w:val="22"/>
            </w:rPr>
            <w:t>3 pracovní dny</w:t>
          </w:r>
        </w:sdtContent>
      </w:sdt>
      <w:r>
        <w:rPr>
          <w:rFonts w:asciiTheme="minorHAnsi" w:hAnsiTheme="minorHAnsi" w:cstheme="minorHAnsi"/>
          <w:sz w:val="22"/>
          <w:szCs w:val="22"/>
        </w:rPr>
        <w:t xml:space="preserve"> před zakrytím</w:t>
      </w:r>
      <w:r>
        <w:rPr>
          <w:rFonts w:ascii="Calibri" w:hAnsi="Calibri"/>
          <w:sz w:val="22"/>
          <w:szCs w:val="22"/>
        </w:rPr>
        <w:t xml:space="preserve"> prací.</w:t>
      </w:r>
      <w:bookmarkEnd w:id="8"/>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Nepozve-li Zhotovitel Objednatele na kontrolu dle předchozího odstavce včas nebo pozve-li jej ve zřejmě nevhodné době, zejména mimo dobu, kdy je Zhotovitel oprávněn provádět Dílo dle odstavce </w:t>
      </w:r>
      <w:r>
        <w:fldChar w:fldCharType="begin"/>
      </w:r>
      <w:r>
        <w:instrText xml:space="preserve"> REF _Ref397411033 \r \h  \* MERGEFORMAT </w:instrText>
      </w:r>
      <w:r>
        <w:fldChar w:fldCharType="separate"/>
      </w:r>
      <w:r>
        <w:rPr>
          <w:rFonts w:ascii="Calibri" w:hAnsi="Calibri"/>
          <w:sz w:val="22"/>
          <w:szCs w:val="22"/>
        </w:rPr>
        <w:t>39</w:t>
      </w:r>
      <w:r>
        <w:fldChar w:fldCharType="end"/>
      </w:r>
      <w:r>
        <w:rPr>
          <w:rFonts w:ascii="Calibri" w:hAnsi="Calibri"/>
          <w:sz w:val="22"/>
          <w:szCs w:val="22"/>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se Objednatel na výzvu Zhotovitele učiněnou v souladu s odstavcem </w:t>
      </w:r>
      <w:r>
        <w:fldChar w:fldCharType="begin"/>
      </w:r>
      <w:r>
        <w:instrText xml:space="preserve"> REF _Ref397513842 \r \h  \* MERGEFORMAT </w:instrText>
      </w:r>
      <w:r>
        <w:fldChar w:fldCharType="separate"/>
      </w:r>
      <w:r>
        <w:rPr>
          <w:rFonts w:ascii="Calibri" w:hAnsi="Calibri"/>
          <w:sz w:val="22"/>
          <w:szCs w:val="22"/>
        </w:rPr>
        <w:t>33</w:t>
      </w:r>
      <w:r>
        <w:fldChar w:fldCharType="end"/>
      </w:r>
      <w:r>
        <w:rPr>
          <w:rFonts w:ascii="Calibri" w:hAnsi="Calibri"/>
          <w:sz w:val="22"/>
          <w:szCs w:val="22"/>
        </w:rPr>
        <w:t xml:space="preserve"> Smlouvy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pPr>
        <w:pStyle w:val="Odstavecseseznamem"/>
        <w:numPr>
          <w:ilvl w:val="1"/>
          <w:numId w:val="3"/>
        </w:numPr>
        <w:jc w:val="both"/>
        <w:rPr>
          <w:rFonts w:ascii="Calibri" w:hAnsi="Calibri"/>
          <w:sz w:val="22"/>
          <w:szCs w:val="22"/>
        </w:rPr>
      </w:pPr>
      <w:r>
        <w:rPr>
          <w:rFonts w:ascii="Calibri" w:hAnsi="Calibri"/>
          <w:sz w:val="22"/>
          <w:szCs w:val="22"/>
        </w:rPr>
        <w:t>kontrolovat, zda práce na Díle jsou prováděny v souladu se Smlouvou, Projektovou dokumentací, příslušnými ČSN, ČSN EN, právními předpisy platnými a účinnými v době provádění díla a rozhodnutími dotčených orgánů veřejné správy a správců inženýrských sítí týkajících se Díla;</w:t>
      </w:r>
    </w:p>
    <w:p>
      <w:pPr>
        <w:pStyle w:val="Odstavecseseznamem"/>
        <w:numPr>
          <w:ilvl w:val="1"/>
          <w:numId w:val="3"/>
        </w:numPr>
        <w:jc w:val="both"/>
        <w:rPr>
          <w:rFonts w:ascii="Calibri" w:hAnsi="Calibri"/>
          <w:sz w:val="22"/>
          <w:szCs w:val="22"/>
        </w:rPr>
      </w:pPr>
      <w:r>
        <w:rPr>
          <w:rFonts w:ascii="Calibri" w:hAnsi="Calibri"/>
          <w:sz w:val="22"/>
          <w:szCs w:val="22"/>
        </w:rPr>
        <w:t>upozorňovat Zhotovitele zápisem do stavebního deníku na zjištěné nedostatky a kontrolovat termíny a způsob jejich odstranění;</w:t>
      </w:r>
    </w:p>
    <w:p>
      <w:pPr>
        <w:pStyle w:val="Odstavecseseznamem"/>
        <w:numPr>
          <w:ilvl w:val="1"/>
          <w:numId w:val="3"/>
        </w:numPr>
        <w:jc w:val="both"/>
        <w:rPr>
          <w:rFonts w:ascii="Calibri" w:hAnsi="Calibri"/>
          <w:sz w:val="22"/>
          <w:szCs w:val="22"/>
        </w:rPr>
      </w:pPr>
      <w:r>
        <w:rPr>
          <w:rFonts w:ascii="Calibri" w:hAnsi="Calibri"/>
          <w:sz w:val="22"/>
          <w:szCs w:val="22"/>
        </w:rPr>
        <w:t>kontrolovat zakrývané konstrukce;</w:t>
      </w:r>
    </w:p>
    <w:p>
      <w:pPr>
        <w:pStyle w:val="Odstavecseseznamem"/>
        <w:numPr>
          <w:ilvl w:val="1"/>
          <w:numId w:val="3"/>
        </w:numPr>
        <w:jc w:val="both"/>
        <w:rPr>
          <w:rFonts w:ascii="Calibri" w:hAnsi="Calibri"/>
          <w:sz w:val="22"/>
          <w:szCs w:val="22"/>
        </w:rPr>
      </w:pPr>
      <w:r>
        <w:rPr>
          <w:rFonts w:ascii="Calibri" w:hAnsi="Calibri"/>
          <w:sz w:val="22"/>
          <w:szCs w:val="22"/>
        </w:rPr>
        <w:t>kontrolovat dodržování právních předpisů, směrnic, opatření apod.</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lastRenderedPageBreak/>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9" w:name="_Ref397411033"/>
      <w:r>
        <w:rPr>
          <w:rFonts w:asciiTheme="minorHAnsi" w:hAnsiTheme="minorHAnsi" w:cstheme="minorHAnsi"/>
          <w:sz w:val="22"/>
          <w:szCs w:val="22"/>
        </w:rPr>
        <w:t xml:space="preserve">Zhotovitel je oprávněn provádět Dílo každý kalendářní den v době od </w:t>
      </w:r>
      <w:sdt>
        <w:sdtPr>
          <w:rPr>
            <w:rFonts w:asciiTheme="minorHAnsi" w:hAnsiTheme="minorHAnsi" w:cstheme="minorHAnsi"/>
            <w:sz w:val="22"/>
            <w:szCs w:val="22"/>
          </w:rPr>
          <w:id w:val="924155642"/>
          <w:placeholder>
            <w:docPart w:val="D3E111079DD24774923EF9C3529E925F"/>
          </w:placeholder>
          <w:comboBox>
            <w:listItem w:value="Zvolte položku."/>
            <w:listItem w:displayText="7:00" w:value="7:00"/>
            <w:listItem w:displayText="8:00" w:value="8:00"/>
          </w:comboBox>
        </w:sdtPr>
        <w:sdtContent>
          <w:r>
            <w:rPr>
              <w:rFonts w:asciiTheme="minorHAnsi" w:hAnsiTheme="minorHAnsi" w:cstheme="minorHAnsi"/>
              <w:sz w:val="22"/>
              <w:szCs w:val="22"/>
            </w:rPr>
            <w:t>6:00</w:t>
          </w:r>
        </w:sdtContent>
      </w:sdt>
      <w:r>
        <w:rPr>
          <w:rFonts w:asciiTheme="minorHAnsi" w:hAnsiTheme="minorHAnsi" w:cstheme="minorHAnsi"/>
          <w:sz w:val="22"/>
          <w:szCs w:val="22"/>
        </w:rPr>
        <w:t xml:space="preserve"> hod. do </w:t>
      </w:r>
      <w:sdt>
        <w:sdtPr>
          <w:rPr>
            <w:rFonts w:asciiTheme="minorHAnsi" w:hAnsiTheme="minorHAnsi" w:cstheme="minorHAnsi"/>
            <w:sz w:val="22"/>
            <w:szCs w:val="22"/>
          </w:rPr>
          <w:id w:val="1140154462"/>
          <w:placeholder>
            <w:docPart w:val="BC8A7A960FEB46A8B6B577FEE0C61329"/>
          </w:placeholder>
          <w:comboBox>
            <w:listItem w:value="Zvolte položku."/>
            <w:listItem w:displayText="19:00" w:value="19:00"/>
            <w:listItem w:displayText="20:00" w:value="20:00"/>
            <w:listItem w:displayText="21:00" w:value="21:00"/>
            <w:listItem w:displayText="22:00" w:value="22:00"/>
          </w:comboBox>
        </w:sdtPr>
        <w:sdtContent>
          <w:r>
            <w:rPr>
              <w:rFonts w:asciiTheme="minorHAnsi" w:hAnsiTheme="minorHAnsi" w:cstheme="minorHAnsi"/>
              <w:sz w:val="22"/>
              <w:szCs w:val="22"/>
            </w:rPr>
            <w:t>22:00</w:t>
          </w:r>
        </w:sdtContent>
      </w:sdt>
      <w:r>
        <w:rPr>
          <w:rFonts w:asciiTheme="minorHAnsi" w:hAnsiTheme="minorHAnsi" w:cstheme="minorHAnsi"/>
          <w:sz w:val="22"/>
          <w:szCs w:val="22"/>
        </w:rPr>
        <w:t xml:space="preserve"> hod., není-li dohodnuto jinak. Zhotovitel je oprávněn provádět Dílo jen za trvalé přítomnosti česky hovořícího s</w:t>
      </w:r>
      <w:r>
        <w:rPr>
          <w:rFonts w:asciiTheme="minorHAnsi" w:hAnsiTheme="minorHAnsi" w:cstheme="minorHAnsi"/>
          <w:bCs/>
          <w:sz w:val="22"/>
          <w:szCs w:val="22"/>
        </w:rPr>
        <w:t>tavbyvedoucího nebo zástupce stavbyvedoucího v místě plnění Díla</w:t>
      </w:r>
      <w:r>
        <w:rPr>
          <w:rFonts w:ascii="Calibri" w:hAnsi="Calibri"/>
          <w:bCs/>
          <w:sz w:val="22"/>
          <w:szCs w:val="22"/>
        </w:rPr>
        <w:t xml:space="preserve">. </w:t>
      </w:r>
      <w:r>
        <w:rPr>
          <w:rFonts w:ascii="Calibri" w:hAnsi="Calibri"/>
          <w:sz w:val="22"/>
          <w:szCs w:val="22"/>
        </w:rPr>
        <w:t>Objednatel je oprávněn v případě svých provozních potřeb dobu, po kterou je Zhotovitel oprávněn provádět Dílo, upravit písemným pokynem Zhotoviteli.</w:t>
      </w:r>
      <w:bookmarkEnd w:id="9"/>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bezodkladně, nejpozději však do 5 pracovních dnů </w:t>
      </w:r>
      <w:r>
        <w:rPr>
          <w:rFonts w:asciiTheme="minorHAnsi" w:hAnsiTheme="minorHAnsi" w:cstheme="minorHAnsi"/>
          <w:snapToGrid w:val="0"/>
          <w:sz w:val="22"/>
          <w:szCs w:val="22"/>
        </w:rPr>
        <w:t>ode dne účinnosti Smlouvy,</w:t>
      </w:r>
      <w:r>
        <w:rPr>
          <w:rFonts w:asciiTheme="minorHAnsi" w:hAnsiTheme="minorHAnsi" w:cstheme="minorHAnsi"/>
          <w:sz w:val="22"/>
          <w:szCs w:val="22"/>
        </w:rPr>
        <w:t xml:space="preserve"> </w:t>
      </w:r>
      <w:r>
        <w:rPr>
          <w:rFonts w:asciiTheme="minorHAnsi" w:hAnsiTheme="minorHAnsi" w:cstheme="minorHAnsi"/>
          <w:snapToGrid w:val="0"/>
          <w:sz w:val="22"/>
          <w:szCs w:val="22"/>
        </w:rPr>
        <w:t xml:space="preserve">nebude-li mezi Objednatelem a Zhotovitelem dohodnuto jinak, předat Objednateli časový plán provádění Díla </w:t>
      </w:r>
      <w:r>
        <w:rPr>
          <w:rFonts w:asciiTheme="minorHAnsi" w:hAnsiTheme="minorHAnsi" w:cstheme="minorHAnsi"/>
          <w:i/>
          <w:snapToGrid w:val="0"/>
          <w:sz w:val="22"/>
          <w:szCs w:val="22"/>
        </w:rPr>
        <w:t>(dále jen „</w:t>
      </w:r>
      <w:r>
        <w:rPr>
          <w:rFonts w:asciiTheme="minorHAnsi" w:hAnsiTheme="minorHAnsi" w:cstheme="minorHAnsi"/>
          <w:b/>
          <w:i/>
          <w:snapToGrid w:val="0"/>
          <w:sz w:val="22"/>
          <w:szCs w:val="22"/>
        </w:rPr>
        <w:t>Harmonogram</w:t>
      </w:r>
      <w:r>
        <w:rPr>
          <w:rFonts w:asciiTheme="minorHAnsi" w:hAnsiTheme="minorHAnsi" w:cstheme="minorHAnsi"/>
          <w:i/>
          <w:snapToGrid w:val="0"/>
          <w:sz w:val="22"/>
          <w:szCs w:val="22"/>
        </w:rPr>
        <w:t xml:space="preserve">“) </w:t>
      </w:r>
      <w:r>
        <w:rPr>
          <w:rFonts w:asciiTheme="minorHAnsi" w:hAnsiTheme="minorHAnsi" w:cstheme="minorHAnsi"/>
          <w:snapToGrid w:val="0"/>
          <w:sz w:val="22"/>
          <w:szCs w:val="22"/>
        </w:rPr>
        <w:t>k vyjádření.</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 xml:space="preserve">dílčích lhůt a termínů vyplývajících ze Smlouvy s vyznačením vazeb mezi klíčovými stavebními pracemi, dodávkami či službami, a to </w:t>
      </w:r>
      <w:r>
        <w:rPr>
          <w:rFonts w:asciiTheme="minorHAnsi" w:hAnsiTheme="minorHAnsi" w:cstheme="minorHAnsi"/>
          <w:snapToGrid w:val="0"/>
          <w:sz w:val="22"/>
          <w:szCs w:val="22"/>
        </w:rPr>
        <w:t>ode dne účinnosti</w:t>
      </w:r>
      <w:r>
        <w:rPr>
          <w:rFonts w:asciiTheme="minorHAnsi" w:hAnsiTheme="minorHAnsi" w:cstheme="minorHAnsi"/>
          <w:sz w:val="22"/>
          <w:szCs w:val="22"/>
        </w:rPr>
        <w:t xml:space="preserve"> Smlouvy až do předání a převzetí Díla.</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se do 5 pracovních dnů ode dne převzetí Harmonogramu vyjádří k jeho obsahu. Případné připomínky Objednatele budou Zhotovitelem vypořádány do 5 pracovních dnů ode dne vyjádření Objednatele.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postupovat při provádění Díla v souladu s Harmonogramem.</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průběžně aktualizovat zejména v návaznosti na průběh provádění Díla či pokyny Objednatele.</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TDS nebo AD nesmí být jemu odpovídající materiál, výrobek či prvek zapracován do Díla. Vzorek je schválen zápisem Objednatele nebo TDS, příp. AD, do stavebního deníku nebo protokolu z kontrolního dne.</w:t>
      </w:r>
    </w:p>
    <w:p>
      <w:pPr>
        <w:ind w:left="567"/>
        <w:jc w:val="both"/>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lastRenderedPageBreak/>
        <w:t xml:space="preserve">Vzorkování proběhne tak, že Objednatel, TDS nebo AD Zhotoviteli sdělí, že u konkrétního prvku Díla požaduje provést vzorkování a Zhotovitel poté nejpozději do </w:t>
      </w:r>
      <w:bookmarkStart w:id="10"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sz w:val="22"/>
              <w:szCs w:val="22"/>
            </w:rPr>
            <w:t>7</w:t>
          </w:r>
        </w:sdtContent>
      </w:sdt>
      <w:bookmarkEnd w:id="10"/>
      <w:r>
        <w:rPr>
          <w:rFonts w:asciiTheme="minorHAnsi" w:hAnsiTheme="minorHAnsi" w:cstheme="minorHAnsi"/>
          <w:sz w:val="22"/>
          <w:szCs w:val="22"/>
        </w:rPr>
        <w:t xml:space="preserve"> dní předloží požadované Vzorky v místě provádění Díla Objednateli</w:t>
      </w:r>
      <w:r>
        <w:rPr>
          <w:rFonts w:asciiTheme="minorHAnsi" w:hAnsiTheme="minorHAnsi" w:cstheme="minorHAnsi"/>
          <w:snapToGrid w:val="0"/>
          <w:sz w:val="22"/>
          <w:szCs w:val="22"/>
        </w:rPr>
        <w:t>, TDS nebo AD</w:t>
      </w:r>
      <w:r>
        <w:rPr>
          <w:rFonts w:asciiTheme="minorHAnsi" w:hAnsiTheme="minorHAnsi" w:cstheme="minorHAnsi"/>
          <w:sz w:val="22"/>
          <w:szCs w:val="22"/>
        </w:rPr>
        <w:t>. O předložení Vzorků vyrozumí Zhotovitel Objednatele</w:t>
      </w:r>
      <w:r>
        <w:rPr>
          <w:rFonts w:asciiTheme="minorHAnsi" w:hAnsiTheme="minorHAnsi" w:cstheme="minorHAnsi"/>
          <w:snapToGrid w:val="0"/>
          <w:sz w:val="22"/>
          <w:szCs w:val="22"/>
        </w:rPr>
        <w:t>, TDS nebo AD</w:t>
      </w:r>
      <w:r>
        <w:rPr>
          <w:rFonts w:asciiTheme="minorHAnsi" w:hAnsiTheme="minorHAnsi" w:cstheme="minorHAnsi"/>
          <w:sz w:val="22"/>
          <w:szCs w:val="22"/>
        </w:rPr>
        <w:t xml:space="preserv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TDS nebo AD na Vzorcích zejména ověří, zda vyhovují požadavkům Objednatele, TDS nebo AD, a to zejména co do technických vlastností, funkcionality, jakosti a provedení, pokud takové požadavky Objednatel, TDS nebo AD stanovil.</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Posouzení Vzorků provede Objednatel, TDS nebo AD do  </w:t>
      </w:r>
      <w:sdt>
        <w:sdtPr>
          <w:rPr>
            <w:rFonts w:asciiTheme="minorHAnsi" w:hAnsiTheme="minorHAnsi" w:cstheme="minorHAnsi"/>
            <w:sz w:val="22"/>
            <w:szCs w:val="22"/>
          </w:rPr>
          <w:id w:val="-763383382"/>
          <w:placeholder>
            <w:docPart w:val="64BB4C99D2CB4EAFB21B570C0E4D7A3C"/>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rFonts w:asciiTheme="minorHAnsi" w:hAnsiTheme="minorHAnsi" w:cstheme="minorHAnsi"/>
          <w:sz w:val="22"/>
          <w:szCs w:val="22"/>
        </w:rPr>
        <w:t xml:space="preserve"> dnů ode dne jejich předložení. Shledá-li, že Vzorek nevyhovuje požadavkům Objednatele, TDS nebo AD, informuje o tom Zhotovitele, který je povinen Vzorek upravit nebo nahradit novým a předložit jej Objednateli</w:t>
      </w:r>
      <w:r>
        <w:rPr>
          <w:rFonts w:asciiTheme="minorHAnsi" w:hAnsiTheme="minorHAnsi" w:cstheme="minorHAnsi"/>
          <w:snapToGrid w:val="0"/>
          <w:sz w:val="22"/>
          <w:szCs w:val="22"/>
        </w:rPr>
        <w:t>, TDS nebo AD</w:t>
      </w:r>
      <w:r>
        <w:rPr>
          <w:rFonts w:asciiTheme="minorHAnsi" w:hAnsiTheme="minorHAnsi" w:cstheme="minorHAnsi"/>
          <w:sz w:val="22"/>
          <w:szCs w:val="22"/>
        </w:rPr>
        <w:t xml:space="preserve">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rFonts w:asciiTheme="minorHAnsi" w:hAnsiTheme="minorHAnsi" w:cstheme="minorHAnsi"/>
          <w:sz w:val="22"/>
          <w:szCs w:val="22"/>
        </w:rPr>
        <w:t xml:space="preserve"> dnů k novému posouzení a schválení. Nesplňuje-li ani upravený nebo nově předložený Vzorek požadavky Objednatele</w:t>
      </w:r>
      <w:r>
        <w:rPr>
          <w:rFonts w:asciiTheme="minorHAnsi" w:hAnsiTheme="minorHAnsi" w:cstheme="minorHAnsi"/>
          <w:snapToGrid w:val="0"/>
          <w:sz w:val="22"/>
          <w:szCs w:val="22"/>
        </w:rPr>
        <w:t>, TDS nebo AD</w:t>
      </w:r>
      <w:r>
        <w:rPr>
          <w:rFonts w:asciiTheme="minorHAnsi" w:hAnsiTheme="minorHAnsi" w:cstheme="minorHAnsi"/>
          <w:sz w:val="22"/>
          <w:szCs w:val="22"/>
        </w:rPr>
        <w:t>, jedná se o podstatné porušení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Theme="minorHAnsi" w:hAnsiTheme="minorHAnsi" w:cstheme="minorHAnsi"/>
          <w:sz w:val="22"/>
          <w:szCs w:val="22"/>
        </w:rPr>
        <w:t xml:space="preserve">je oprávněn pověřit výkonem práv a plněním povinností dle Smlouvy či jejich v pověření konkretizované části třetí osobu </w:t>
      </w:r>
      <w:r>
        <w:rPr>
          <w:rFonts w:asciiTheme="minorHAnsi" w:hAnsiTheme="minorHAnsi" w:cstheme="minorHAnsi"/>
          <w:i/>
          <w:sz w:val="22"/>
          <w:szCs w:val="22"/>
        </w:rPr>
        <w:t>(dále jen „</w:t>
      </w:r>
      <w:r>
        <w:rPr>
          <w:rFonts w:asciiTheme="minorHAnsi" w:hAnsiTheme="minorHAnsi" w:cstheme="minorHAnsi"/>
          <w:b/>
          <w:i/>
          <w:sz w:val="22"/>
          <w:szCs w:val="22"/>
        </w:rPr>
        <w:t>Pověřená osoba</w:t>
      </w:r>
      <w:r>
        <w:rPr>
          <w:rFonts w:asciiTheme="minorHAnsi" w:hAnsiTheme="minorHAnsi" w:cstheme="minorHAnsi"/>
          <w:i/>
          <w:sz w:val="22"/>
          <w:szCs w:val="22"/>
        </w:rPr>
        <w:t>“)</w:t>
      </w:r>
      <w:r>
        <w:rPr>
          <w:rFonts w:asciiTheme="minorHAnsi" w:hAnsiTheme="minorHAnsi" w:cstheme="minorHAnsi"/>
          <w:sz w:val="22"/>
          <w:szCs w:val="22"/>
        </w:rPr>
        <w:t>. Objednatel se zavazuje Zhotovitele o udělení pověření třetí osobě bezodkladně informovat.</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rPr>
          <w:rFonts w:ascii="Calibri" w:hAnsi="Calibri"/>
          <w:sz w:val="22"/>
          <w:szCs w:val="22"/>
        </w:rPr>
      </w:pPr>
    </w:p>
    <w:p>
      <w:pPr>
        <w:pStyle w:val="Nadpis1"/>
        <w:rPr>
          <w:szCs w:val="22"/>
        </w:rPr>
      </w:pPr>
      <w:bookmarkStart w:id="11"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12" w:name="_Ref394405799"/>
      <w:bookmarkStart w:id="13" w:name="_Ref433127238"/>
      <w:r>
        <w:rPr>
          <w:rFonts w:ascii="Calibri" w:hAnsi="Calibri"/>
          <w:sz w:val="22"/>
          <w:szCs w:val="22"/>
        </w:rPr>
        <w:t xml:space="preserve">Zhotovitel je oprávněn pověřit plněním svých povinností ze Smlouvy pouze třetí osoby uvedené v příloze č. </w:t>
      </w:r>
      <w:sdt>
        <w:sdtPr>
          <w:rPr>
            <w:rFonts w:asciiTheme="minorHAnsi" w:hAnsiTheme="minorHAnsi" w:cstheme="minorHAnsi"/>
            <w:sz w:val="22"/>
            <w:szCs w:val="22"/>
          </w:rPr>
          <w:id w:val="325245787"/>
          <w:placeholder>
            <w:docPart w:val="0CCCE66C511D411B996B97102AB132FE"/>
          </w:placeholder>
          <w:comboBox>
            <w:listItem w:value="Zvolte položku."/>
            <w:listItem w:displayText="2" w:value="2"/>
            <w:listItem w:displayText="3" w:value="3"/>
            <w:listItem w:displayText="4" w:value="4"/>
            <w:listItem w:displayText="5" w:value="5"/>
          </w:comboBox>
        </w:sdtPr>
        <w:sdtContent>
          <w:r>
            <w:rPr>
              <w:rFonts w:asciiTheme="minorHAnsi" w:hAnsiTheme="minorHAnsi" w:cstheme="minorHAnsi"/>
              <w:sz w:val="22"/>
              <w:szCs w:val="22"/>
            </w:rPr>
            <w:t>3</w:t>
          </w:r>
        </w:sdtContent>
      </w:sdt>
      <w:r>
        <w:rPr>
          <w:rFonts w:ascii="Calibri" w:hAnsi="Calibri"/>
          <w:sz w:val="22"/>
          <w:szCs w:val="22"/>
        </w:rPr>
        <w:t xml:space="preserve"> Smlouvy, nebo písemně odsouhlasené Objednatelem (dále jen </w:t>
      </w:r>
      <w:bookmarkEnd w:id="12"/>
      <w:r>
        <w:rPr>
          <w:rFonts w:ascii="Calibri" w:hAnsi="Calibri"/>
          <w:bCs/>
          <w:sz w:val="22"/>
          <w:szCs w:val="22"/>
        </w:rPr>
        <w:t>jednotlivě „</w:t>
      </w:r>
      <w:r>
        <w:rPr>
          <w:rFonts w:ascii="Calibri" w:hAnsi="Calibri"/>
          <w:b/>
          <w:bCs/>
          <w:i/>
          <w:sz w:val="22"/>
          <w:szCs w:val="22"/>
        </w:rPr>
        <w:t>Poddodavatel</w:t>
      </w:r>
      <w:r>
        <w:rPr>
          <w:rFonts w:ascii="Calibri" w:hAnsi="Calibri"/>
          <w:bCs/>
          <w:sz w:val="22"/>
          <w:szCs w:val="22"/>
        </w:rPr>
        <w:t>“ nebo společně „</w:t>
      </w:r>
      <w:r>
        <w:rPr>
          <w:rFonts w:ascii="Calibri" w:hAnsi="Calibri"/>
          <w:b/>
          <w:bCs/>
          <w:i/>
          <w:sz w:val="22"/>
          <w:szCs w:val="22"/>
        </w:rPr>
        <w:t>Poddodavatelé</w:t>
      </w:r>
      <w:r>
        <w:rPr>
          <w:rFonts w:ascii="Calibri" w:hAnsi="Calibri"/>
          <w:bCs/>
          <w:sz w:val="22"/>
          <w:szCs w:val="22"/>
        </w:rPr>
        <w:t>“).</w:t>
      </w:r>
      <w:bookmarkEnd w:id="13"/>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a Zhotovitel je povinen zabezpečit změnu Poddodavatele, a to zejména v případech, kdy: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vůči Objednateli v prodlení se splněním povinnosti z jiného závazku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pravomocně odsouzen za trestný čin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se Poddodavatel ocitne ve stavu úpadku nebo hrozícího úpadku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Poddodavateli uložen zákaz plnění veřejných zakázek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lastRenderedPageBreak/>
        <w:t xml:space="preserve">bude dán jiný závažný důvod pro změnu Poddodavatele. </w:t>
      </w:r>
    </w:p>
    <w:p>
      <w:pPr>
        <w:ind w:left="567"/>
        <w:jc w:val="both"/>
        <w:rPr>
          <w:rFonts w:ascii="Calibri" w:hAnsi="Calibri"/>
          <w:sz w:val="22"/>
          <w:szCs w:val="22"/>
        </w:rPr>
      </w:pPr>
      <w:r>
        <w:rPr>
          <w:rFonts w:ascii="Calibri" w:hAnsi="Calibri"/>
          <w:sz w:val="22"/>
          <w:szCs w:val="22"/>
        </w:rPr>
        <w:t xml:space="preserve">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Subdodavatel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_Ref433120701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61</w:t>
      </w:r>
      <w:r>
        <w:rPr>
          <w:rFonts w:ascii="Calibri" w:hAnsi="Calibri"/>
          <w:sz w:val="22"/>
          <w:szCs w:val="22"/>
        </w:rPr>
        <w:fldChar w:fldCharType="end"/>
      </w:r>
      <w:r>
        <w:rPr>
          <w:rFonts w:ascii="Calibri" w:hAnsi="Calibri"/>
          <w:sz w:val="22"/>
          <w:szCs w:val="22"/>
        </w:rPr>
        <w:t xml:space="preserv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14" w:name="_Ref433120701"/>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4"/>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ind w:left="1276"/>
        <w:jc w:val="both"/>
        <w:rPr>
          <w:rFonts w:ascii="Calibri" w:hAnsi="Calibri"/>
          <w:sz w:val="22"/>
          <w:szCs w:val="22"/>
        </w:rPr>
      </w:pPr>
    </w:p>
    <w:bookmarkEnd w:id="11"/>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je oprávněn požadovat předložení dokladů o provedených platbách Poddodavatelům a smlouvy uzavřené mezi Zhotovitelem a Poddodavateli a Zhotovitel je povinen je bezodkladně poskytnout.</w:t>
      </w:r>
    </w:p>
    <w:p>
      <w:pPr>
        <w:jc w:val="both"/>
        <w:rPr>
          <w:rFonts w:asciiTheme="minorHAnsi" w:hAnsiTheme="minorHAnsi" w:cstheme="minorHAns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Místem provádění Díla jsou pozemkové parcely v katastrálním území Město Žďár definované Projektovou dokumentací,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5" w:name="_Ref397341966"/>
      <w:r>
        <w:rPr>
          <w:rFonts w:ascii="Calibri" w:hAnsi="Calibri"/>
          <w:sz w:val="22"/>
          <w:szCs w:val="22"/>
        </w:rPr>
        <w:t>Dílo bude prováděno v následujících termínech:</w:t>
      </w:r>
      <w:bookmarkEnd w:id="15"/>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18</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16" w:name="_Ref391889452"/>
      <w:r>
        <w:rPr>
          <w:rFonts w:ascii="Calibri" w:hAnsi="Calibri"/>
          <w:sz w:val="22"/>
          <w:szCs w:val="22"/>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w:t>
      </w:r>
      <w:r>
        <w:rPr>
          <w:rFonts w:ascii="Calibri" w:hAnsi="Calibri"/>
          <w:sz w:val="22"/>
          <w:szCs w:val="22"/>
        </w:rPr>
        <w:lastRenderedPageBreak/>
        <w:t xml:space="preserve">příkazů. Zhotovitel je povinen pokračovat v provádění Díla v rozsahu, ve kterém mu v tom nebrání nevhodné nebo neúplné věci, podklady nebo příkazy a technologický postup stavby Díla. Lhůty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 se nemění, jestliže se Smluvní strany nedohodnou jinak nebo není-li ve Smlouvě stanoveno jinak.</w:t>
      </w:r>
      <w:bookmarkEnd w:id="16"/>
    </w:p>
    <w:p>
      <w:pPr>
        <w:ind w:left="567"/>
        <w:jc w:val="both"/>
        <w:rPr>
          <w:rFonts w:ascii="Calibri" w:hAnsi="Calibri"/>
          <w:sz w:val="22"/>
          <w:szCs w:val="22"/>
        </w:rPr>
      </w:pPr>
    </w:p>
    <w:p>
      <w:pPr>
        <w:numPr>
          <w:ilvl w:val="0"/>
          <w:numId w:val="3"/>
        </w:numPr>
        <w:jc w:val="both"/>
        <w:rPr>
          <w:rFonts w:ascii="Calibri" w:hAnsi="Calibri"/>
          <w:sz w:val="22"/>
          <w:szCs w:val="22"/>
        </w:rPr>
      </w:pPr>
      <w:bookmarkStart w:id="17" w:name="_Ref391889466"/>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7"/>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oprávněn </w:t>
      </w:r>
      <w:r>
        <w:rPr>
          <w:rFonts w:asciiTheme="minorHAnsi" w:hAnsiTheme="minorHAnsi" w:cstheme="minorHAnsi"/>
          <w:sz w:val="22"/>
          <w:szCs w:val="22"/>
        </w:rPr>
        <w:t>přizvat k předání a převzetí Díla i jiné osoby, jejichž účast pokládá za nezbytnou.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Termíny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 mohou být změněny pouze písemným dodatkem ke Smlouvě po dohodě obou Smluvních stran.</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line="240" w:lineRule="auto"/>
        <w:ind w:left="567"/>
        <w:rPr>
          <w:rFonts w:asciiTheme="minorHAnsi" w:hAnsiTheme="minorHAnsi" w:cstheme="minorHAnsi"/>
          <w:color w:val="000000" w:themeColor="text1"/>
        </w:rPr>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 tj. zejména:</w:t>
      </w:r>
      <w:bookmarkEnd w:id="18"/>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o zajištění likvidace odpadů vzniklých stavebními pracemi na Díle v souladu se Zákonem o odpadech, a jeho prováděcími předpisy;</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a zápisy o provedení předepsaných zkoušek a měřeních, atesty, certifikáty, prohlášení o shodě použitých materiálů a výrobků, revizní zprávy;</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předpisy k jednotlivým technickým zařízením a doklady o předvedení funkčnosti těchto zařízení;</w:t>
      </w:r>
    </w:p>
    <w:p>
      <w:pPr>
        <w:pStyle w:val="Odstavecseseznamem"/>
        <w:numPr>
          <w:ilvl w:val="1"/>
          <w:numId w:val="3"/>
        </w:numPr>
        <w:ind w:left="1276" w:hanging="709"/>
        <w:jc w:val="both"/>
        <w:rPr>
          <w:rFonts w:ascii="Calibri" w:hAnsi="Calibri"/>
          <w:sz w:val="22"/>
          <w:szCs w:val="22"/>
        </w:rPr>
      </w:pPr>
      <w:r>
        <w:rPr>
          <w:rFonts w:ascii="Calibri" w:hAnsi="Calibri"/>
          <w:sz w:val="22"/>
          <w:szCs w:val="22"/>
        </w:rPr>
        <w:t>stavební deník;</w:t>
      </w:r>
    </w:p>
    <w:p>
      <w:pPr>
        <w:pStyle w:val="Odstavecseseznamem"/>
        <w:numPr>
          <w:ilvl w:val="1"/>
          <w:numId w:val="3"/>
        </w:numPr>
        <w:ind w:left="1276" w:hanging="709"/>
        <w:jc w:val="both"/>
        <w:rPr>
          <w:rFonts w:ascii="Calibri" w:hAnsi="Calibri"/>
          <w:sz w:val="22"/>
          <w:szCs w:val="22"/>
        </w:rPr>
      </w:pPr>
      <w:r>
        <w:rPr>
          <w:rFonts w:ascii="Calibri" w:hAnsi="Calibri"/>
          <w:sz w:val="22"/>
          <w:szCs w:val="22"/>
        </w:rPr>
        <w:t>manipulační a provozní řády, návody k obsluze a návody na provoz a údržbu Díla a dokumentaci údržby v českém jazyce, záruční listy, protokoly o zaškolení obsluhy;</w:t>
      </w:r>
    </w:p>
    <w:p>
      <w:pPr>
        <w:pStyle w:val="Odstavecseseznamem"/>
        <w:numPr>
          <w:ilvl w:val="1"/>
          <w:numId w:val="3"/>
        </w:numPr>
        <w:ind w:left="1276" w:hanging="709"/>
        <w:jc w:val="both"/>
        <w:rPr>
          <w:rFonts w:ascii="Calibri" w:hAnsi="Calibri"/>
          <w:sz w:val="22"/>
          <w:szCs w:val="22"/>
        </w:rPr>
      </w:pPr>
      <w:r>
        <w:rPr>
          <w:rFonts w:ascii="Calibri" w:hAnsi="Calibri"/>
          <w:sz w:val="22"/>
          <w:szCs w:val="22"/>
        </w:rPr>
        <w:lastRenderedPageBreak/>
        <w:t>fotodokumentaci z průběhu realizace Díla, zejména stavebních prací a konstrukcí, které byly dalším postupem prací zakryté;</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dokumentaci skutečného provedení Díla (dále také jako „</w:t>
      </w:r>
      <w:r>
        <w:rPr>
          <w:rFonts w:ascii="Calibri" w:hAnsi="Calibri"/>
          <w:b/>
          <w:bCs/>
          <w:i/>
          <w:iCs/>
          <w:sz w:val="22"/>
          <w:szCs w:val="22"/>
        </w:rPr>
        <w:t>DSPD</w:t>
      </w:r>
      <w:r>
        <w:rPr>
          <w:rFonts w:ascii="Calibri" w:hAnsi="Calibri"/>
          <w:sz w:val="22"/>
          <w:szCs w:val="22"/>
        </w:rPr>
        <w:t>“) ve 3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dokumenty vyplývající z podmínek povolení záměru vyjma žádosti o vydání kolaudačního rozhodnutí, kterou si zajistí sám Objednatel;</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geodetické zaměření dokončeného Díla a geometrický plán pro zápis do katastru nemovitostí, vše ve 4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numPr>
          <w:ilvl w:val="1"/>
          <w:numId w:val="3"/>
        </w:numPr>
        <w:ind w:left="1276" w:hanging="709"/>
        <w:jc w:val="both"/>
        <w:rPr>
          <w:rFonts w:ascii="Calibri" w:hAnsi="Calibri"/>
          <w:sz w:val="22"/>
          <w:szCs w:val="22"/>
        </w:rPr>
      </w:pPr>
      <w:r>
        <w:rPr>
          <w:rFonts w:ascii="Calibri" w:hAnsi="Calibri"/>
          <w:sz w:val="22"/>
          <w:szCs w:val="22"/>
        </w:rPr>
        <w:t>Po dokončení stavby, která vyvolá změnu údajů v digitální technické mapě (dále jen “DTM”),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pStyle w:val="Odstavecseseznamem"/>
        <w:ind w:left="1276"/>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pStyle w:val="Odstavecseseznamem"/>
        <w:ind w:left="1276"/>
        <w:jc w:val="both"/>
        <w:rPr>
          <w:rFonts w:ascii="Calibri" w:hAnsi="Calibri"/>
          <w:sz w:val="22"/>
          <w:szCs w:val="22"/>
        </w:rPr>
      </w:pPr>
      <w:r>
        <w:rPr>
          <w:rFonts w:ascii="Calibri" w:hAnsi="Calibri"/>
          <w:sz w:val="22"/>
          <w:szCs w:val="22"/>
        </w:rPr>
        <w:t>Elaborát DTI bude obsahovat:</w:t>
      </w:r>
    </w:p>
    <w:p>
      <w:pPr>
        <w:pStyle w:val="Odstavecseseznamem"/>
        <w:numPr>
          <w:ilvl w:val="2"/>
          <w:numId w:val="3"/>
        </w:numPr>
        <w:ind w:left="2127" w:hanging="851"/>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p>
    <w:p>
      <w:pPr>
        <w:pStyle w:val="Odstavecseseznamem"/>
        <w:numPr>
          <w:ilvl w:val="2"/>
          <w:numId w:val="3"/>
        </w:numPr>
        <w:ind w:left="2127" w:hanging="851"/>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pStyle w:val="Odstavecseseznamem"/>
        <w:numPr>
          <w:ilvl w:val="2"/>
          <w:numId w:val="3"/>
        </w:numPr>
        <w:ind w:left="2127" w:hanging="851"/>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pStyle w:val="Odstavecseseznamem"/>
        <w:numPr>
          <w:ilvl w:val="2"/>
          <w:numId w:val="3"/>
        </w:numPr>
        <w:ind w:left="2127" w:hanging="851"/>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pStyle w:val="Odstavecseseznamem"/>
        <w:spacing w:before="120"/>
        <w:ind w:left="1276"/>
        <w:contextualSpacing w:val="0"/>
        <w:jc w:val="both"/>
        <w:rPr>
          <w:rFonts w:ascii="Calibri" w:hAnsi="Calibri"/>
          <w:sz w:val="24"/>
          <w:szCs w:val="24"/>
        </w:rPr>
      </w:pPr>
      <w:r>
        <w:rPr>
          <w:rFonts w:ascii="Calibri" w:hAnsi="Calibri"/>
          <w:sz w:val="22"/>
          <w:szCs w:val="22"/>
        </w:rPr>
        <w:t>Pokud je dokončené Dílo předmětem evidence v katastru nemovitostí zajistí zhotovitel stavby vyhotovení geometrického plánu a předá jej ověřený a potvrzený v elektronické podobě ve formátu .</w:t>
      </w:r>
      <w:proofErr w:type="spellStart"/>
      <w:r>
        <w:rPr>
          <w:rFonts w:ascii="Calibri" w:hAnsi="Calibri"/>
          <w:sz w:val="22"/>
          <w:szCs w:val="22"/>
        </w:rPr>
        <w:t>pdf</w:t>
      </w:r>
      <w:proofErr w:type="spellEnd"/>
      <w:r>
        <w:rPr>
          <w:rFonts w:ascii="Calibri" w:hAnsi="Calibri"/>
          <w:sz w:val="22"/>
          <w:szCs w:val="22"/>
        </w:rPr>
        <w:t xml:space="preserve">, dále ve 4 vyhotoveních ověřený a potvrzený v listinné podobě a dále grafickou část geometrického plánu ve </w:t>
      </w:r>
      <w:proofErr w:type="gramStart"/>
      <w:r>
        <w:rPr>
          <w:rFonts w:ascii="Calibri" w:hAnsi="Calibri"/>
          <w:sz w:val="22"/>
          <w:szCs w:val="22"/>
        </w:rPr>
        <w:t>formátu .</w:t>
      </w:r>
      <w:proofErr w:type="spellStart"/>
      <w:r>
        <w:rPr>
          <w:rFonts w:ascii="Calibri" w:hAnsi="Calibri"/>
          <w:sz w:val="22"/>
          <w:szCs w:val="22"/>
        </w:rPr>
        <w:t>dgn</w:t>
      </w:r>
      <w:proofErr w:type="spellEnd"/>
      <w:proofErr w:type="gramEnd"/>
      <w:r>
        <w:rPr>
          <w:rFonts w:ascii="Calibri" w:hAnsi="Calibri"/>
          <w:sz w:val="22"/>
          <w:szCs w:val="22"/>
        </w:rPr>
        <w:t>. </w:t>
      </w:r>
    </w:p>
    <w:p>
      <w:pPr>
        <w:pStyle w:val="Odstavecseseznamem"/>
        <w:spacing w:before="120"/>
        <w:ind w:left="1276"/>
        <w:contextualSpacing w:val="0"/>
        <w:jc w:val="both"/>
        <w:rPr>
          <w:rFonts w:ascii="Calibri" w:hAnsi="Calibri"/>
          <w:sz w:val="24"/>
          <w:szCs w:val="24"/>
        </w:rPr>
      </w:pPr>
      <w:r>
        <w:rPr>
          <w:rFonts w:ascii="Calibri" w:hAnsi="Calibri"/>
          <w:sz w:val="22"/>
          <w:szCs w:val="22"/>
        </w:rPr>
        <w:t xml:space="preserve"> Zhotovitel zajistí pro potřeby digitální technické mapy města (DTMM) geodetické zaměření skutečného stavu </w:t>
      </w:r>
      <w:proofErr w:type="gramStart"/>
      <w:r>
        <w:rPr>
          <w:rFonts w:ascii="Calibri" w:hAnsi="Calibri"/>
          <w:sz w:val="22"/>
          <w:szCs w:val="22"/>
        </w:rPr>
        <w:t>Díla</w:t>
      </w:r>
      <w:proofErr w:type="gramEnd"/>
      <w:r>
        <w:rPr>
          <w:rFonts w:ascii="Calibri" w:hAnsi="Calibri"/>
          <w:sz w:val="22"/>
          <w:szCs w:val="22"/>
        </w:rPr>
        <w:t xml:space="preserve"> a to i nad rámec obsahu DTM vč. povrchových znaků v okolí stavby jako jsou objekty inženýrských sítí, dopravní infrastruktury (dopravní značky, sloupky, vnitřní členění dopravních ploch jako jsou obě hrany obrubníků, schody, změny materiálů, např. slepecké dlažby), mobiliář, dřeviny vč. naměřeného průměru kmenu u stromů ve výšce 1,3 m nad povrchem. Rozsah zaměření je Zhotovitel povinen konzultovat s příslušnými správci majetku Objednatele. Zhotovitel předá zpracované zaměření v elektronické podobě ve formátu .</w:t>
      </w:r>
      <w:proofErr w:type="spellStart"/>
      <w:r>
        <w:rPr>
          <w:rFonts w:ascii="Calibri" w:hAnsi="Calibri"/>
          <w:sz w:val="22"/>
          <w:szCs w:val="22"/>
        </w:rPr>
        <w:t>pdf</w:t>
      </w:r>
      <w:proofErr w:type="spellEnd"/>
      <w:proofErr w:type="gramStart"/>
      <w:r>
        <w:rPr>
          <w:rFonts w:ascii="Calibri" w:hAnsi="Calibri"/>
          <w:sz w:val="22"/>
          <w:szCs w:val="22"/>
        </w:rPr>
        <w:t>, .</w:t>
      </w:r>
      <w:proofErr w:type="spellStart"/>
      <w:r>
        <w:rPr>
          <w:rFonts w:ascii="Calibri" w:hAnsi="Calibri"/>
          <w:sz w:val="22"/>
          <w:szCs w:val="22"/>
        </w:rPr>
        <w:t>dgn</w:t>
      </w:r>
      <w:proofErr w:type="spellEnd"/>
      <w:proofErr w:type="gramEnd"/>
      <w:r>
        <w:rPr>
          <w:rFonts w:ascii="Calibri" w:hAnsi="Calibri"/>
          <w:sz w:val="22"/>
          <w:szCs w:val="22"/>
        </w:rPr>
        <w:t>, .</w:t>
      </w:r>
      <w:proofErr w:type="spellStart"/>
      <w:r>
        <w:rPr>
          <w:rFonts w:ascii="Calibri" w:hAnsi="Calibri"/>
          <w:sz w:val="22"/>
          <w:szCs w:val="22"/>
        </w:rPr>
        <w:t>dwg</w:t>
      </w:r>
      <w:proofErr w:type="spellEnd"/>
      <w:r>
        <w:rPr>
          <w:rFonts w:ascii="Calibri" w:hAnsi="Calibri"/>
          <w:sz w:val="22"/>
          <w:szCs w:val="22"/>
        </w:rPr>
        <w:t>, .</w:t>
      </w:r>
      <w:proofErr w:type="spellStart"/>
      <w:r>
        <w:rPr>
          <w:rFonts w:ascii="Calibri" w:hAnsi="Calibri"/>
          <w:sz w:val="22"/>
          <w:szCs w:val="22"/>
        </w:rPr>
        <w:t>shp</w:t>
      </w:r>
      <w:proofErr w:type="spellEnd"/>
      <w:r>
        <w:rPr>
          <w:rFonts w:ascii="Calibri" w:hAnsi="Calibri"/>
          <w:sz w:val="22"/>
          <w:szCs w:val="22"/>
        </w:rPr>
        <w:t>. a technickou zprávu ověřenou AZI v elektronické podobě ve formátu .</w:t>
      </w:r>
      <w:proofErr w:type="spellStart"/>
      <w:r>
        <w:rPr>
          <w:rFonts w:ascii="Calibri" w:hAnsi="Calibri"/>
          <w:sz w:val="22"/>
          <w:szCs w:val="22"/>
        </w:rPr>
        <w:t>pdf</w:t>
      </w:r>
      <w:proofErr w:type="spellEnd"/>
      <w:r>
        <w:rPr>
          <w:rFonts w:ascii="Calibri" w:hAnsi="Calibri"/>
          <w:sz w:val="22"/>
          <w:szCs w:val="22"/>
        </w:rPr>
        <w:t xml:space="preserve"> a 2 vyhotovení v podobě listinné.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případě, že obecně závazné právní předpisy, povolení záměru či jiné povolení,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9" w:name="_Ref391909747"/>
      <w:r>
        <w:rPr>
          <w:rFonts w:ascii="Calibri" w:hAnsi="Calibri"/>
          <w:sz w:val="22"/>
          <w:szCs w:val="22"/>
        </w:rPr>
        <w:t xml:space="preserve">Objednatel Dílo převezme za předpokladu, že je Dílo dokončené, a že Dílo odpovídá Smlouvě, je plně funkční, a je prosté vad a nedodělků s výjimkou ojedinělých drobných vad a nedodělků, jež </w:t>
      </w:r>
      <w:r>
        <w:rPr>
          <w:rFonts w:ascii="Calibri" w:hAnsi="Calibri"/>
          <w:sz w:val="22"/>
          <w:szCs w:val="22"/>
        </w:rPr>
        <w:lastRenderedPageBreak/>
        <w:t>nebrání řádnému užívání Díla funkčně ani esteticky, ani jeho užívání podstatným způsobem neomezují, a které nejsou nebo nemohou být překážkou pro vydání kolaudačního rozhodnutí pro Dílo (dále jen „</w:t>
      </w:r>
      <w:r>
        <w:rPr>
          <w:rFonts w:ascii="Calibri" w:hAnsi="Calibri"/>
          <w:b/>
          <w:bCs/>
          <w:i/>
          <w:iCs/>
          <w:sz w:val="22"/>
          <w:szCs w:val="22"/>
        </w:rPr>
        <w:t>Drobné vady</w:t>
      </w:r>
      <w:r>
        <w:rPr>
          <w:rFonts w:ascii="Calibri" w:hAnsi="Calibri"/>
          <w:sz w:val="22"/>
          <w:szCs w:val="22"/>
        </w:rPr>
        <w:t>“).</w:t>
      </w:r>
      <w:bookmarkEnd w:id="19"/>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 předání a převzetí Díla bude Smluvními stranami sepsán protokol, který bude obsahovat identifikační údaje Smluvních stran, identifikaci Díla, prohlášení Objednatele, zda Dílo přejímá nebo nepřejímá, zhodnocení stavebních prací, dodávek a služeb, soupis zjištěných Drobných vad, dohodnuté lhůty k jejich odstranění nebo jiná opatření (byla-li dohodnuta), soupis dokladů předaných Zhotovitelem Objednateli při předání Díla a datované podpisy Smluvních stran (dále též </w:t>
      </w:r>
      <w:r>
        <w:rPr>
          <w:rFonts w:ascii="Calibri" w:hAnsi="Calibri"/>
          <w:i/>
          <w:sz w:val="22"/>
          <w:szCs w:val="22"/>
        </w:rPr>
        <w:t>„</w:t>
      </w:r>
      <w:r>
        <w:rPr>
          <w:rFonts w:ascii="Calibri" w:hAnsi="Calibri"/>
          <w:b/>
          <w:i/>
          <w:sz w:val="22"/>
          <w:szCs w:val="22"/>
        </w:rPr>
        <w:t>Předávací protokol</w:t>
      </w:r>
      <w:r>
        <w:rPr>
          <w:rFonts w:ascii="Calibri" w:hAnsi="Calibri"/>
          <w:i/>
          <w:sz w:val="22"/>
          <w:szCs w:val="22"/>
        </w:rPr>
        <w:t>“</w:t>
      </w:r>
      <w:r>
        <w:rPr>
          <w:rFonts w:ascii="Calibri" w:hAnsi="Calibri"/>
          <w:sz w:val="22"/>
          <w:szCs w:val="22"/>
        </w:rPr>
        <w:t>). Vypracování návrhu Předávacího protokolu zajistí Zhotovitel.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20" w:name="_Ref391906151"/>
      <w:r>
        <w:rPr>
          <w:rFonts w:ascii="Calibri" w:hAnsi="Calibri"/>
          <w:sz w:val="22"/>
          <w:szCs w:val="22"/>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20"/>
      <w:r>
        <w:rPr>
          <w:rFonts w:ascii="Calibri" w:hAnsi="Calibri"/>
          <w:sz w:val="22"/>
          <w:szCs w:val="22"/>
        </w:rPr>
        <w:t xml:space="preserve">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se zavazuje řádně odstranit veškeré Drobné vady a vady a nedodělky, jež vyplynou z Předávacího protokolu, a to ve lhůtě stanovené v Předávacím protokolu. V případě nepřevzetí Díla Objednatelem je Zhotovitel povinen řádně odstranit veškeré vady a nedodělky ve lhůtě sjednané v Předávacím protokolu. Nebude-li termín odstranění vady nebo nedodělku v Předávacím protokolu stanoven, je Zhotovitel povinen vadu nebo nedodělek odstranit </w:t>
      </w:r>
      <w:r>
        <w:rPr>
          <w:rFonts w:asciiTheme="minorHAnsi" w:hAnsiTheme="minorHAnsi" w:cstheme="minorHAnsi"/>
          <w:sz w:val="22"/>
          <w:szCs w:val="22"/>
        </w:rPr>
        <w:t xml:space="preserve">nejpozději do </w:t>
      </w:r>
      <w:sdt>
        <w:sdtPr>
          <w:rPr>
            <w:rFonts w:asciiTheme="minorHAnsi" w:hAnsiTheme="minorHAnsi" w:cstheme="minorHAnsi"/>
            <w:sz w:val="22"/>
            <w:szCs w:val="22"/>
          </w:rPr>
          <w:id w:val="1220100246"/>
          <w:placeholder>
            <w:docPart w:val="67848372FC9B43CD9ABF65B13CED4E87"/>
          </w:placeholder>
          <w:comboBox>
            <w:listItem w:value="Zvolte položku."/>
            <w:listItem w:displayText="5" w:value="5"/>
            <w:listItem w:displayText="10" w:value="10"/>
            <w:listItem w:displayText="15" w:value="15"/>
            <w:listItem w:displayText="30" w:value="30"/>
          </w:comboBox>
        </w:sdtPr>
        <w:sdtContent>
          <w:r>
            <w:rPr>
              <w:rFonts w:asciiTheme="minorHAnsi" w:hAnsiTheme="minorHAnsi" w:cstheme="minorHAnsi"/>
              <w:sz w:val="22"/>
              <w:szCs w:val="22"/>
            </w:rPr>
            <w:t>15</w:t>
          </w:r>
        </w:sdtContent>
      </w:sdt>
      <w:r>
        <w:rPr>
          <w:rFonts w:ascii="Calibri" w:hAnsi="Calibri"/>
          <w:sz w:val="22"/>
          <w:szCs w:val="22"/>
        </w:rPr>
        <w:t xml:space="preserve"> dnů ode dne oboustranného podpisu Předávacího protokolu. O odstranění vad a nedodělků sepíší Smluvní strany protokol.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66</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21" w:name="_Toc305061156"/>
      <w:bookmarkStart w:id="22"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21"/>
      <w:bookmarkEnd w:id="22"/>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Toc305060862"/>
      <w:bookmarkStart w:id="24" w:name="_Toc305061356"/>
      <w:r>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23"/>
      <w:bookmarkEnd w:id="24"/>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 zejména mladistvých, a dále s ohledem na své potřeby, v souladu s Projektovou dokumentací a v souladu s dalšími požadavky vyplývajícími ze Smlouvy.</w:t>
      </w:r>
    </w:p>
    <w:p>
      <w:pPr>
        <w:jc w:val="both"/>
        <w:rPr>
          <w:rFonts w:ascii="Calibri" w:hAnsi="Calibri"/>
          <w:sz w:val="22"/>
          <w:szCs w:val="22"/>
        </w:rPr>
      </w:pPr>
      <w:bookmarkStart w:id="25" w:name="_Toc305061165"/>
      <w:bookmarkStart w:id="26"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5"/>
      <w:bookmarkEnd w:id="26"/>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7" w:name="_Toc305061176"/>
      <w:bookmarkStart w:id="28"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7"/>
      <w:bookmarkEnd w:id="28"/>
    </w:p>
    <w:p>
      <w:pPr>
        <w:jc w:val="both"/>
        <w:rPr>
          <w:rFonts w:ascii="Calibri" w:hAnsi="Calibri"/>
          <w:sz w:val="22"/>
          <w:szCs w:val="22"/>
        </w:rPr>
      </w:pPr>
    </w:p>
    <w:p>
      <w:pPr>
        <w:pStyle w:val="Nadpis1"/>
        <w:rPr>
          <w:szCs w:val="22"/>
        </w:rPr>
      </w:pPr>
      <w:bookmarkStart w:id="29" w:name="_Toc383117513"/>
      <w:r>
        <w:rPr>
          <w:szCs w:val="22"/>
        </w:rPr>
        <w:t>NAKLÁDÁNÍ S ODPADY A NEZPŮSOBOVÁNÍ VÝZNAMNÉ ÚJMY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r>
        <w:rPr>
          <w:rFonts w:ascii="Calibri" w:hAnsi="Calibri"/>
          <w:sz w:val="22"/>
          <w:szCs w:val="22"/>
        </w:rPr>
        <w:lastRenderedPageBreak/>
        <w:t>Náklady spojené s tříděním, přepravou a odevzdáním těchto odpadů nese Zhotovitel.</w:t>
      </w:r>
    </w:p>
    <w:p>
      <w:pPr>
        <w:ind w:left="567"/>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jc w:val="both"/>
        <w:rPr>
          <w:rFonts w:ascii="Calibri" w:hAnsi="Calibri"/>
          <w:sz w:val="22"/>
          <w:szCs w:val="22"/>
        </w:rPr>
      </w:pPr>
    </w:p>
    <w:p>
      <w:pPr>
        <w:numPr>
          <w:ilvl w:val="0"/>
          <w:numId w:val="3"/>
        </w:numPr>
        <w:jc w:val="both"/>
        <w:rPr>
          <w:rFonts w:ascii="Calibri" w:hAnsi="Calibri"/>
          <w:sz w:val="22"/>
          <w:szCs w:val="22"/>
        </w:rPr>
      </w:pPr>
      <w:bookmarkStart w:id="30" w:name="_Ref203478111"/>
      <w:bookmarkStart w:id="31" w:name="_Ref149302257"/>
      <w:bookmarkStart w:id="32" w:name="_Ref149312177"/>
      <w:r>
        <w:rPr>
          <w:rFonts w:ascii="Calibri" w:hAnsi="Calibri"/>
          <w:sz w:val="22"/>
          <w:szCs w:val="22"/>
        </w:rPr>
        <w:t>Zhotovitel je povinen nakládat s odpady vzniklými při realizaci Díla v souladu s příslušnými ustanoveními zákona č. 541/2020 Sb., o odpadech, a v souladu s Informací Řídícího orgánu IROP pro žadatele a příjemce ohledně požadavků kladených v Projektu (dále jen "</w:t>
      </w:r>
      <w:r>
        <w:rPr>
          <w:rFonts w:ascii="Calibri" w:hAnsi="Calibri"/>
          <w:b/>
          <w:bCs/>
          <w:i/>
          <w:iCs/>
          <w:sz w:val="22"/>
          <w:szCs w:val="22"/>
        </w:rPr>
        <w:t>Informace</w:t>
      </w:r>
      <w:r>
        <w:rPr>
          <w:rFonts w:ascii="Calibri" w:hAnsi="Calibri"/>
          <w:sz w:val="22"/>
          <w:szCs w:val="22"/>
        </w:rPr>
        <w:t>"</w:t>
      </w:r>
      <w:r>
        <w:rPr>
          <w:rFonts w:ascii="Calibri" w:hAnsi="Calibri"/>
          <w:sz w:val="22"/>
          <w:szCs w:val="22"/>
          <w:vertAlign w:val="superscript"/>
        </w:rPr>
        <w:footnoteReference w:id="1"/>
      </w:r>
      <w:r>
        <w:rPr>
          <w:rFonts w:ascii="Calibri" w:hAnsi="Calibri"/>
          <w:sz w:val="22"/>
          <w:szCs w:val="22"/>
        </w:rPr>
        <w:t>) na:</w:t>
      </w:r>
      <w:bookmarkEnd w:id="30"/>
    </w:p>
    <w:p>
      <w:pPr>
        <w:numPr>
          <w:ilvl w:val="1"/>
          <w:numId w:val="3"/>
        </w:numPr>
        <w:jc w:val="both"/>
        <w:rPr>
          <w:rFonts w:ascii="Calibri" w:hAnsi="Calibri"/>
          <w:sz w:val="22"/>
          <w:szCs w:val="22"/>
        </w:rPr>
      </w:pPr>
      <w:r>
        <w:rPr>
          <w:rFonts w:ascii="Calibri" w:hAnsi="Calibri"/>
          <w:sz w:val="22"/>
          <w:szCs w:val="22"/>
        </w:rPr>
        <w:t xml:space="preserve">připravenost k opětovnému použití, recyklaci nebo jiným druhům materiálového využití stavebního a demoličního odpadu. Zejména je tedy Zhotovitel povinen nakládat s odpady tak, aby nejméně 70 % (hmotnostních) stavebního a demoličního odpadu neklasifikovaného jako nebezpečný (s výjimkou v přírodě vyskytujících se materiálů uvedených v kategorii 17 05 04 Evropského seznamu odpadů stanoveného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pPr>
        <w:numPr>
          <w:ilvl w:val="1"/>
          <w:numId w:val="3"/>
        </w:numPr>
        <w:jc w:val="both"/>
        <w:rPr>
          <w:rFonts w:ascii="Calibri" w:hAnsi="Calibri"/>
          <w:sz w:val="22"/>
          <w:szCs w:val="22"/>
        </w:rPr>
      </w:pPr>
      <w:r>
        <w:rPr>
          <w:rFonts w:ascii="Calibri" w:hAnsi="Calibri"/>
          <w:sz w:val="22"/>
          <w:szCs w:val="22"/>
        </w:rPr>
        <w:t xml:space="preserve">udržitelné využívání a ochranu vodnicí zdrojů. Budou-li instalována tato zařízení k využívání vody, bude pro ně uvedená spotřeba vody doložena technickými listy výrobku, stavební certifikací nebo stávajícím štítkem výrobku v EU: a) b) c) umyvadlové baterie mají maximální průtok vody 6 litrů/min; sprchy mají maximální průtok vody 8 litrů/min; WC, zahrnující soupravy, mísy a splachovací nádrže, mají úplný objem splachovací vody maximálně 6 litrů a maximální průměrný objem splachovací vody 3,75 litru (vypočteno dle vzorce Va2 = (Vf3 + (3 × Vr4)) /4); d) pisoáry spotřebují maximálně 2 litry/mísu/hodinu. Splachovací pisoáry mají maximální úplný objem splachovací vody 1 litr. </w:t>
      </w:r>
    </w:p>
    <w:p>
      <w:pPr>
        <w:numPr>
          <w:ilvl w:val="1"/>
          <w:numId w:val="3"/>
        </w:numPr>
        <w:jc w:val="both"/>
        <w:rPr>
          <w:rFonts w:ascii="Calibri" w:hAnsi="Calibri"/>
          <w:sz w:val="22"/>
          <w:szCs w:val="22"/>
        </w:rPr>
      </w:pPr>
      <w:r>
        <w:rPr>
          <w:rFonts w:ascii="Calibri" w:hAnsi="Calibri"/>
          <w:sz w:val="22"/>
          <w:szCs w:val="22"/>
        </w:rPr>
        <w:t>prevenci a omezování znečištění.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Pokud je nová stavba umístěna na potenciálně kontaminovaném místě (brownfield), bylo na staveništi provedeno šetření na potenciální kontaminující látky, např. podle normy ISO 18400. Přijímají se opatření ke snížení hluku, prachu a emisí znečišťujících látek při stavebních nebo údržbářských pracích.</w:t>
      </w:r>
    </w:p>
    <w:p>
      <w:pPr>
        <w:ind w:left="567"/>
        <w:jc w:val="both"/>
        <w:rPr>
          <w:rFonts w:ascii="Calibri" w:hAnsi="Calibri"/>
          <w:sz w:val="22"/>
          <w:szCs w:val="22"/>
        </w:rPr>
      </w:pPr>
      <w:r>
        <w:rPr>
          <w:rFonts w:ascii="Calibri" w:hAnsi="Calibri"/>
          <w:sz w:val="22"/>
          <w:szCs w:val="22"/>
        </w:rPr>
        <w:lastRenderedPageBreak/>
        <w:t>Doklady o postupu dle tohoto odstavce je Zhotovitel povinen na vyžádání předložit Objednateli.</w:t>
      </w:r>
      <w:bookmarkEnd w:id="31"/>
      <w:bookmarkEnd w:id="32"/>
    </w:p>
    <w:p>
      <w:pPr>
        <w:rPr>
          <w:lang w:eastAsia="ar-SA"/>
        </w:rPr>
      </w:pPr>
    </w:p>
    <w:p>
      <w:pPr>
        <w:pStyle w:val="Nadpis1"/>
        <w:rPr>
          <w:szCs w:val="22"/>
        </w:rPr>
      </w:pPr>
      <w:r>
        <w:rPr>
          <w:szCs w:val="22"/>
        </w:rPr>
        <w:t>CENA</w:t>
      </w:r>
      <w:bookmarkEnd w:id="29"/>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je stanovena na základě nabídky Zhotovitele podané v Řízení veřejné zakázky činí:</w:t>
      </w: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429"/>
      </w:tblGrid>
      <w:tr>
        <w:tc>
          <w:tcPr>
            <w:tcW w:w="4111" w:type="dxa"/>
            <w:vAlign w:val="center"/>
          </w:tcPr>
          <w:p>
            <w:pPr>
              <w:pStyle w:val="Odstavecseseznamem"/>
              <w:widowControl w:val="0"/>
              <w:autoSpaceDE w:val="0"/>
              <w:autoSpaceDN w:val="0"/>
              <w:adjustRightInd w:val="0"/>
              <w:spacing w:before="120" w:after="60"/>
              <w:ind w:left="0"/>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Cena dle soupisu prací </w:t>
            </w:r>
            <w:proofErr w:type="gramStart"/>
            <w:r>
              <w:rPr>
                <w:rFonts w:asciiTheme="minorHAnsi" w:eastAsia="Arial" w:hAnsiTheme="minorHAnsi" w:cstheme="minorHAnsi"/>
                <w:bCs/>
                <w:sz w:val="22"/>
                <w:szCs w:val="22"/>
              </w:rPr>
              <w:t>2A</w:t>
            </w:r>
            <w:proofErr w:type="gramEnd"/>
            <w:r>
              <w:rPr>
                <w:rFonts w:asciiTheme="minorHAnsi" w:eastAsia="Arial" w:hAnsiTheme="minorHAnsi" w:cstheme="minorHAnsi"/>
                <w:bCs/>
                <w:sz w:val="22"/>
                <w:szCs w:val="22"/>
              </w:rPr>
              <w:t xml:space="preserve"> bez DPH</w:t>
            </w:r>
          </w:p>
        </w:tc>
        <w:tc>
          <w:tcPr>
            <w:tcW w:w="2126" w:type="dxa"/>
            <w:shd w:val="clear" w:color="auto" w:fill="auto"/>
            <w:vAlign w:val="center"/>
          </w:tcPr>
          <w:p>
            <w:pPr>
              <w:pStyle w:val="Odstavecseseznamem"/>
              <w:widowControl w:val="0"/>
              <w:autoSpaceDE w:val="0"/>
              <w:autoSpaceDN w:val="0"/>
              <w:adjustRightInd w:val="0"/>
              <w:spacing w:before="60" w:after="60"/>
              <w:ind w:left="0"/>
              <w:jc w:val="right"/>
              <w:rPr>
                <w:rFonts w:asciiTheme="minorHAnsi" w:hAnsiTheme="minorHAnsi" w:cstheme="minorHAnsi"/>
                <w:b/>
                <w:sz w:val="22"/>
                <w:szCs w:val="22"/>
                <w:highlight w:val="yellow"/>
              </w:rPr>
            </w:pP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tc>
        <w:tc>
          <w:tcPr>
            <w:tcW w:w="236" w:type="dxa"/>
            <w:vAlign w:val="center"/>
          </w:tcPr>
          <w:p>
            <w:pPr>
              <w:pStyle w:val="Odstavecseseznamem"/>
              <w:widowControl w:val="0"/>
              <w:autoSpaceDE w:val="0"/>
              <w:autoSpaceDN w:val="0"/>
              <w:adjustRightInd w:val="0"/>
              <w:spacing w:before="60" w:after="60"/>
              <w:ind w:left="0"/>
              <w:jc w:val="both"/>
              <w:rPr>
                <w:rFonts w:asciiTheme="minorHAnsi" w:hAnsiTheme="minorHAnsi" w:cstheme="minorHAnsi"/>
                <w:sz w:val="22"/>
                <w:szCs w:val="22"/>
              </w:rPr>
            </w:pPr>
            <w:r>
              <w:rPr>
                <w:rFonts w:asciiTheme="minorHAnsi" w:hAnsiTheme="minorHAnsi" w:cstheme="minorHAnsi"/>
                <w:sz w:val="22"/>
                <w:szCs w:val="22"/>
              </w:rPr>
              <w:t>Kč</w:t>
            </w:r>
          </w:p>
        </w:tc>
      </w:tr>
      <w:tr>
        <w:tc>
          <w:tcPr>
            <w:tcW w:w="4111" w:type="dxa"/>
            <w:tcBorders>
              <w:bottom w:val="single" w:sz="4" w:space="0" w:color="auto"/>
            </w:tcBorders>
            <w:vAlign w:val="center"/>
          </w:tcPr>
          <w:p>
            <w:pPr>
              <w:pStyle w:val="Odstavecseseznamem"/>
              <w:widowControl w:val="0"/>
              <w:autoSpaceDE w:val="0"/>
              <w:autoSpaceDN w:val="0"/>
              <w:adjustRightInd w:val="0"/>
              <w:spacing w:before="120" w:after="60"/>
              <w:ind w:left="0"/>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Cena dle soupisu prací </w:t>
            </w:r>
            <w:proofErr w:type="gramStart"/>
            <w:r>
              <w:rPr>
                <w:rFonts w:asciiTheme="minorHAnsi" w:eastAsia="Arial" w:hAnsiTheme="minorHAnsi" w:cstheme="minorHAnsi"/>
                <w:bCs/>
                <w:sz w:val="22"/>
                <w:szCs w:val="22"/>
              </w:rPr>
              <w:t>2B</w:t>
            </w:r>
            <w:proofErr w:type="gramEnd"/>
            <w:r>
              <w:rPr>
                <w:rFonts w:asciiTheme="minorHAnsi" w:eastAsia="Arial" w:hAnsiTheme="minorHAnsi" w:cstheme="minorHAnsi"/>
                <w:bCs/>
                <w:sz w:val="22"/>
                <w:szCs w:val="22"/>
              </w:rPr>
              <w:t xml:space="preserve"> bez DPH</w:t>
            </w:r>
          </w:p>
        </w:tc>
        <w:tc>
          <w:tcPr>
            <w:tcW w:w="2126" w:type="dxa"/>
            <w:tcBorders>
              <w:bottom w:val="single" w:sz="4" w:space="0" w:color="auto"/>
            </w:tcBorders>
            <w:shd w:val="clear" w:color="auto" w:fill="auto"/>
            <w:vAlign w:val="center"/>
          </w:tcPr>
          <w:p>
            <w:pPr>
              <w:pStyle w:val="Odstavecseseznamem"/>
              <w:widowControl w:val="0"/>
              <w:autoSpaceDE w:val="0"/>
              <w:autoSpaceDN w:val="0"/>
              <w:adjustRightInd w:val="0"/>
              <w:spacing w:before="60" w:after="60"/>
              <w:ind w:left="0"/>
              <w:jc w:val="right"/>
              <w:rPr>
                <w:rFonts w:asciiTheme="minorHAnsi" w:hAnsiTheme="minorHAnsi" w:cstheme="minorHAnsi"/>
                <w:b/>
                <w:sz w:val="22"/>
                <w:szCs w:val="22"/>
                <w:highlight w:val="yellow"/>
              </w:rPr>
            </w:pP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tc>
        <w:tc>
          <w:tcPr>
            <w:tcW w:w="236" w:type="dxa"/>
            <w:tcBorders>
              <w:bottom w:val="single" w:sz="4" w:space="0" w:color="auto"/>
            </w:tcBorders>
            <w:vAlign w:val="center"/>
          </w:tcPr>
          <w:p>
            <w:pPr>
              <w:pStyle w:val="Odstavecseseznamem"/>
              <w:widowControl w:val="0"/>
              <w:autoSpaceDE w:val="0"/>
              <w:autoSpaceDN w:val="0"/>
              <w:adjustRightInd w:val="0"/>
              <w:spacing w:before="60" w:after="60"/>
              <w:ind w:left="0"/>
              <w:jc w:val="both"/>
              <w:rPr>
                <w:rFonts w:asciiTheme="minorHAnsi" w:hAnsiTheme="minorHAnsi" w:cstheme="minorHAnsi"/>
                <w:sz w:val="22"/>
                <w:szCs w:val="22"/>
              </w:rPr>
            </w:pPr>
            <w:r>
              <w:rPr>
                <w:rFonts w:asciiTheme="minorHAnsi" w:hAnsiTheme="minorHAnsi" w:cstheme="minorHAnsi"/>
                <w:sz w:val="22"/>
                <w:szCs w:val="22"/>
              </w:rPr>
              <w:t>Kč</w:t>
            </w:r>
          </w:p>
        </w:tc>
      </w:tr>
      <w:tr>
        <w:tc>
          <w:tcPr>
            <w:tcW w:w="4111" w:type="dxa"/>
            <w:tcBorders>
              <w:top w:val="single" w:sz="4" w:space="0" w:color="auto"/>
            </w:tcBorders>
            <w:vAlign w:val="center"/>
          </w:tcPr>
          <w:p>
            <w:pPr>
              <w:pStyle w:val="Odstavecseseznamem"/>
              <w:widowControl w:val="0"/>
              <w:autoSpaceDE w:val="0"/>
              <w:autoSpaceDN w:val="0"/>
              <w:adjustRightInd w:val="0"/>
              <w:spacing w:before="120" w:after="60"/>
              <w:ind w:left="0"/>
              <w:rPr>
                <w:rFonts w:asciiTheme="minorHAnsi" w:eastAsia="Arial" w:hAnsiTheme="minorHAnsi" w:cstheme="minorHAnsi"/>
                <w:b/>
                <w:sz w:val="22"/>
                <w:szCs w:val="22"/>
              </w:rPr>
            </w:pPr>
            <w:r>
              <w:rPr>
                <w:rFonts w:asciiTheme="minorHAnsi" w:eastAsia="Arial" w:hAnsiTheme="minorHAnsi" w:cstheme="minorHAnsi"/>
                <w:b/>
                <w:sz w:val="22"/>
                <w:szCs w:val="22"/>
              </w:rPr>
              <w:t>Cena Díla celkem bez DPH</w:t>
            </w:r>
          </w:p>
        </w:tc>
        <w:tc>
          <w:tcPr>
            <w:tcW w:w="2126" w:type="dxa"/>
            <w:tcBorders>
              <w:top w:val="single" w:sz="4" w:space="0" w:color="auto"/>
            </w:tcBorders>
            <w:shd w:val="clear" w:color="auto" w:fill="auto"/>
            <w:vAlign w:val="center"/>
          </w:tcPr>
          <w:p>
            <w:pPr>
              <w:pStyle w:val="Odstavecseseznamem"/>
              <w:widowControl w:val="0"/>
              <w:autoSpaceDE w:val="0"/>
              <w:autoSpaceDN w:val="0"/>
              <w:adjustRightInd w:val="0"/>
              <w:spacing w:before="60" w:after="60"/>
              <w:ind w:left="0"/>
              <w:jc w:val="right"/>
              <w:rPr>
                <w:rFonts w:asciiTheme="minorHAnsi" w:eastAsia="Arial" w:hAnsiTheme="minorHAnsi" w:cstheme="minorHAnsi"/>
                <w:b/>
                <w:sz w:val="22"/>
                <w:szCs w:val="22"/>
              </w:rPr>
            </w:pP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tc>
        <w:tc>
          <w:tcPr>
            <w:tcW w:w="236" w:type="dxa"/>
            <w:tcBorders>
              <w:top w:val="single" w:sz="4" w:space="0" w:color="auto"/>
            </w:tcBorders>
            <w:vAlign w:val="center"/>
          </w:tcPr>
          <w:p>
            <w:pPr>
              <w:pStyle w:val="Odstavecseseznamem"/>
              <w:widowControl w:val="0"/>
              <w:autoSpaceDE w:val="0"/>
              <w:autoSpaceDN w:val="0"/>
              <w:adjustRightInd w:val="0"/>
              <w:spacing w:before="60" w:after="60"/>
              <w:ind w:left="0"/>
              <w:jc w:val="both"/>
              <w:rPr>
                <w:rFonts w:asciiTheme="minorHAnsi" w:eastAsia="Arial" w:hAnsiTheme="minorHAnsi" w:cstheme="minorHAnsi"/>
                <w:b/>
                <w:bCs/>
                <w:sz w:val="22"/>
                <w:szCs w:val="22"/>
              </w:rPr>
            </w:pPr>
            <w:r>
              <w:rPr>
                <w:rFonts w:asciiTheme="minorHAnsi" w:hAnsiTheme="minorHAnsi" w:cstheme="minorHAnsi"/>
                <w:b/>
                <w:bCs/>
                <w:sz w:val="22"/>
                <w:szCs w:val="22"/>
              </w:rPr>
              <w:t xml:space="preserve">Kč </w:t>
            </w:r>
          </w:p>
        </w:tc>
      </w:tr>
    </w:tbl>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Tato Cena Díla je podrobně rozčleněna v položkových rozpočtech (ve Zhotovitelem oceněném výkazu výměr), které jsou přílohou č. 2A a 2B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Cena Díla je stanovena jako nejvýše přípustná a nepřekročitelná s výjimkami stanovenými ve Smlouvě. Úprava Ceny Díla sjednané dle předchozího odstavce je přípustná pouze, je-li tak stanoveno ve Smlouvě</w:t>
      </w:r>
      <w:r>
        <w:rPr>
          <w:rFonts w:asciiTheme="minorHAnsi" w:hAnsiTheme="minorHAnsi" w:cstheme="minorHAnsi"/>
          <w:sz w:val="22"/>
          <w:szCs w:val="22"/>
        </w:rPr>
        <w:t>.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Položkovém rozpočtu vyšší, než jakou Zhotovitel uvedl.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Ceně Díla jsou rovněž zahrnuty mimo jiné:</w:t>
      </w:r>
    </w:p>
    <w:p>
      <w:pPr>
        <w:pStyle w:val="Odstavecseseznamem"/>
        <w:numPr>
          <w:ilvl w:val="1"/>
          <w:numId w:val="3"/>
        </w:numPr>
        <w:jc w:val="both"/>
        <w:rPr>
          <w:rFonts w:ascii="Calibri" w:hAnsi="Calibri"/>
          <w:sz w:val="22"/>
          <w:szCs w:val="22"/>
        </w:rPr>
      </w:pPr>
      <w:r>
        <w:rPr>
          <w:rFonts w:ascii="Calibri" w:hAnsi="Calibri"/>
          <w:sz w:val="22"/>
          <w:szCs w:val="22"/>
        </w:rPr>
        <w:t>náklady na projekt, vybudování, zřízení, zprovoznění, provoz, údržbu, úklid, likvidaci a vyklizení zařízení staveniště pro potřeby Zhotovitele po celou dobu provádění prací na Díle a náklady na střežení a úklid staveniště;</w:t>
      </w:r>
    </w:p>
    <w:p>
      <w:pPr>
        <w:pStyle w:val="Odstavecseseznamem"/>
        <w:numPr>
          <w:ilvl w:val="1"/>
          <w:numId w:val="3"/>
        </w:numPr>
        <w:jc w:val="both"/>
        <w:rPr>
          <w:rFonts w:ascii="Calibri" w:hAnsi="Calibri"/>
          <w:sz w:val="22"/>
          <w:szCs w:val="22"/>
        </w:rPr>
      </w:pPr>
      <w:r>
        <w:rPr>
          <w:rFonts w:ascii="Calibri" w:hAnsi="Calibri"/>
          <w:sz w:val="22"/>
          <w:szCs w:val="22"/>
        </w:rPr>
        <w:t>poplatky za zábor veřejného prostranství, pokud jej Zhotovitel potřebuje pro provádění prací na Díle;</w:t>
      </w:r>
    </w:p>
    <w:p>
      <w:pPr>
        <w:pStyle w:val="Odstavecseseznamem"/>
        <w:numPr>
          <w:ilvl w:val="1"/>
          <w:numId w:val="3"/>
        </w:numPr>
        <w:jc w:val="both"/>
        <w:rPr>
          <w:rFonts w:ascii="Calibri" w:hAnsi="Calibri"/>
          <w:sz w:val="22"/>
          <w:szCs w:val="22"/>
        </w:rPr>
      </w:pPr>
      <w:r>
        <w:rPr>
          <w:rFonts w:ascii="Calibri" w:hAnsi="Calibri"/>
          <w:sz w:val="22"/>
          <w:szCs w:val="22"/>
        </w:rPr>
        <w:t>dopravní náklady pro personál Zhotovitele a materiál na stavbu;</w:t>
      </w:r>
    </w:p>
    <w:p>
      <w:pPr>
        <w:pStyle w:val="Odstavecseseznamem"/>
        <w:numPr>
          <w:ilvl w:val="1"/>
          <w:numId w:val="3"/>
        </w:numPr>
        <w:jc w:val="both"/>
        <w:rPr>
          <w:rFonts w:ascii="Calibri" w:hAnsi="Calibri"/>
          <w:sz w:val="22"/>
          <w:szCs w:val="22"/>
        </w:rPr>
      </w:pPr>
      <w:r>
        <w:rPr>
          <w:rFonts w:ascii="Calibri" w:hAnsi="Calibri"/>
          <w:sz w:val="22"/>
          <w:szCs w:val="22"/>
        </w:rPr>
        <w:t>náklady na odvoz a likvidaci odpadů vzniklých v souvislosti s prováděním Díla;</w:t>
      </w:r>
    </w:p>
    <w:p>
      <w:pPr>
        <w:pStyle w:val="Odstavecseseznamem"/>
        <w:numPr>
          <w:ilvl w:val="1"/>
          <w:numId w:val="3"/>
        </w:numPr>
        <w:jc w:val="both"/>
        <w:rPr>
          <w:rFonts w:ascii="Calibri" w:hAnsi="Calibri"/>
          <w:sz w:val="22"/>
          <w:szCs w:val="22"/>
        </w:rPr>
      </w:pPr>
      <w:r>
        <w:rPr>
          <w:rFonts w:ascii="Calibri" w:hAnsi="Calibri"/>
          <w:sz w:val="22"/>
          <w:szCs w:val="22"/>
        </w:rPr>
        <w:t xml:space="preserve">cena vypracování veškeré dokumentace ve smyslu odstavce </w:t>
      </w:r>
      <w:r>
        <w:fldChar w:fldCharType="begin"/>
      </w:r>
      <w:r>
        <w:instrText xml:space="preserve"> REF _Ref392063031 \r \h  \* MERGEFORMAT </w:instrText>
      </w:r>
      <w:r>
        <w:fldChar w:fldCharType="separate"/>
      </w:r>
      <w:r>
        <w:rPr>
          <w:rFonts w:ascii="Calibri" w:hAnsi="Calibri"/>
          <w:sz w:val="22"/>
          <w:szCs w:val="22"/>
        </w:rPr>
        <w:t>73</w:t>
      </w:r>
      <w:r>
        <w:fldChar w:fldCharType="end"/>
      </w:r>
      <w:r>
        <w:rPr>
          <w:rFonts w:ascii="Calibri" w:hAnsi="Calibri"/>
          <w:sz w:val="22"/>
          <w:szCs w:val="22"/>
        </w:rPr>
        <w:t xml:space="preserve"> Smlouvy;</w:t>
      </w:r>
    </w:p>
    <w:p>
      <w:pPr>
        <w:pStyle w:val="Odstavecseseznamem"/>
        <w:numPr>
          <w:ilvl w:val="1"/>
          <w:numId w:val="3"/>
        </w:numPr>
        <w:jc w:val="both"/>
        <w:rPr>
          <w:rFonts w:ascii="Calibri" w:hAnsi="Calibri"/>
          <w:sz w:val="22"/>
          <w:szCs w:val="22"/>
        </w:rPr>
      </w:pPr>
      <w:r>
        <w:rPr>
          <w:rFonts w:ascii="Calibri" w:hAnsi="Calibri"/>
          <w:sz w:val="22"/>
          <w:szCs w:val="22"/>
        </w:rPr>
        <w:t>náklady na mechanizaci, spotřeba energií a vody a další náklady Zhotovitele nutné pro včasné a kompletní provedení Díla dle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dle následujícího odstavce Smlouvy,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a tento soupis (dále jen „</w:t>
      </w:r>
      <w:r>
        <w:rPr>
          <w:rFonts w:ascii="Calibri" w:hAnsi="Calibri"/>
          <w:b/>
          <w:bCs/>
          <w:i/>
          <w:iCs/>
          <w:sz w:val="22"/>
          <w:szCs w:val="22"/>
        </w:rPr>
        <w:t>Změnový list</w:t>
      </w:r>
      <w:r>
        <w:rPr>
          <w:rFonts w:ascii="Calibri" w:hAnsi="Calibri"/>
          <w:sz w:val="22"/>
          <w:szCs w:val="22"/>
        </w:rPr>
        <w:t>“) předložit Objednateli ke schválení. Zhotovitel je obdobně povinen v rámci sestavení Změnového listu uvést veškeré stavební práce, dodávky a služby, které nebyly realizovány (méněpráce) a předložit je Objednateli ke schválení. Objednatel je povinen vyjádřit se k dle předchozí věty Zhotovitelem navrženému Změnovému listu nejpozději do 30 kalendářních dnů ode dne jeho předložení Zhotovitelem Objednateli. Bude-li navržený Změnový list Objednatelem schválen, provedou Smluvní strany změnu rozsahu Díla a Ceny Díla dle schváleného Změnového listu formou dodatku ke Smlouvě v souladu s platnými právními předpisy. 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ÚRS CZ a.s.</w:t>
          </w:r>
        </w:sdtContent>
      </w:sdt>
      <w:r>
        <w:rPr>
          <w:rFonts w:asciiTheme="minorHAnsi" w:hAnsiTheme="minorHAnsi" w:cstheme="minorHAnsi"/>
          <w:sz w:val="22"/>
          <w:szCs w:val="22"/>
        </w:rPr>
        <w:t xml:space="preserve"> nebo </w:t>
      </w:r>
      <w:sdt>
        <w:sdtPr>
          <w:rPr>
            <w:rFonts w:asciiTheme="minorHAnsi" w:hAnsiTheme="minorHAnsi" w:cstheme="minorHAnsi"/>
            <w:sz w:val="22"/>
            <w:szCs w:val="22"/>
          </w:rPr>
          <w:id w:val="-178579475"/>
          <w:placeholder>
            <w:docPart w:val="CC6531F55CC64F349DD508B10A43EEF7"/>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Theme="minorHAnsi" w:hAnsiTheme="minorHAnsi" w:cstheme="minorHAnsi"/>
          <w:sz w:val="22"/>
          <w:szCs w:val="22"/>
        </w:rPr>
        <w:t>, podle toho, v jaké cenové soustavě byl Položkových rozpočet původně oceněn</w:t>
      </w:r>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pokud se bude jednat o položky, které nejsou obsaženy v aktuálním ceníku podle předchozího odstavce,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 výpočtu změny Ceny Díla vyhotoví Zhotovitel písemný návrh dodatku ke Smlouvě, jehož obsahem bude zejména rozsah změn Díla, změna Ceny Díla včetně detailního položkového rozpočtu a vliv této změny na termíny provádění Díla. V případě, že vliv na termíny provádění Díla sjednané ve Smlouvě nebude v návrhu dodatku uveden, tyto zůstávají beze změny.</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popíšu důvody, pro které vícepráce nesnesly odkladu; tento dodatek má pouze deklaratorní charakter a nemá vliv na závaznost učiněného záznamu.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Drobné vícepráce mohou být Smluvními stranami dohodnuty i ústně a nemusí být opatřeny dodatkem. Drobnými vícepracemi jsou takové změny Díla, při kterých nedochází k rozšíření Díla o další práce, dodávky nebo služby, které nevedou ke změně Ceny Díla, které by za použití v Řízení veřejné zakázky nemohly umožnit účast jiných dodavatelů ani nemohly ovlivnit výběr nejvhodnější nabídky, a zároveň jde o změny Díla, které svou povahou nemění ekonomickou rovnováhu Smlouvy ve prospěch Zhotovitele.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včetně těch drobných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bude hradit Zhotoviteli Cenu Díla průběžně měsíčně na základě </w:t>
      </w:r>
      <w:proofErr w:type="gramStart"/>
      <w:r>
        <w:rPr>
          <w:rFonts w:ascii="Calibri" w:hAnsi="Calibri"/>
          <w:sz w:val="22"/>
          <w:szCs w:val="22"/>
        </w:rPr>
        <w:t>faktur - daňových</w:t>
      </w:r>
      <w:proofErr w:type="gramEnd"/>
      <w:r>
        <w:rPr>
          <w:rFonts w:ascii="Calibri" w:hAnsi="Calibri"/>
          <w:sz w:val="22"/>
          <w:szCs w:val="22"/>
        </w:rPr>
        <w:t xml:space="preserve"> dokladů (dále jen „</w:t>
      </w:r>
      <w:r>
        <w:rPr>
          <w:rFonts w:ascii="Calibri" w:hAnsi="Calibri"/>
          <w:b/>
          <w:i/>
          <w:sz w:val="22"/>
          <w:szCs w:val="22"/>
        </w:rPr>
        <w:t>Faktura</w:t>
      </w:r>
      <w:r>
        <w:rPr>
          <w:rFonts w:ascii="Calibri" w:hAnsi="Calibri"/>
          <w:sz w:val="22"/>
          <w:szCs w:val="22"/>
        </w:rPr>
        <w:t xml:space="preserve">“),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w:t>
      </w:r>
      <w:r>
        <w:rPr>
          <w:rFonts w:ascii="Calibri" w:hAnsi="Calibri"/>
          <w:sz w:val="22"/>
          <w:szCs w:val="22"/>
        </w:rPr>
        <w:lastRenderedPageBreak/>
        <w:t>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ind w:left="567"/>
        <w:jc w:val="both"/>
        <w:rPr>
          <w:rFonts w:ascii="Calibri" w:hAnsi="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numPr>
          <w:ilvl w:val="0"/>
          <w:numId w:val="3"/>
        </w:numPr>
        <w:jc w:val="both"/>
        <w:rPr>
          <w:rFonts w:ascii="Calibri" w:hAnsi="Calibri"/>
          <w:sz w:val="22"/>
          <w:szCs w:val="22"/>
        </w:rPr>
      </w:pPr>
      <w:r>
        <w:rPr>
          <w:rFonts w:ascii="Calibri" w:hAnsi="Calibri"/>
          <w:sz w:val="22"/>
          <w:szCs w:val="22"/>
        </w:rPr>
        <w:t xml:space="preserve">Zhotovitel předloží Objednateli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Soupis bude obsahovat rozsah všech stavebních prací, dodávek a služeb provedených, dodaných a poskytnutých v rámci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Stanoví-li Faktura splatnost delší, než je jako minimální stanovena v tomto článku Smlouvy, je Objednatel oprávněn uhradit příslušnou část Ceny Díla ve lhůtě splatnosti určené ve Faktuře.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75</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color w:val="000000"/>
          <w:sz w:val="22"/>
          <w:szCs w:val="22"/>
        </w:rPr>
      </w:pPr>
    </w:p>
    <w:p>
      <w:pPr>
        <w:jc w:val="both"/>
        <w:rPr>
          <w:rFonts w:ascii="Calibri" w:hAnsi="Calibri"/>
          <w:sz w:val="22"/>
          <w:szCs w:val="22"/>
        </w:rPr>
      </w:pPr>
    </w:p>
    <w:p>
      <w:pPr>
        <w:pStyle w:val="Nadpis1"/>
        <w:rPr>
          <w:szCs w:val="22"/>
        </w:rPr>
      </w:pPr>
      <w:bookmarkStart w:id="33" w:name="_Toc383117519"/>
      <w:r>
        <w:rPr>
          <w:szCs w:val="22"/>
        </w:rPr>
        <w:t>NABYTÍ VLASTNICKÉHO PRÁVA A PŘECHOD NEBEZPEČÍ ŠKODY</w:t>
      </w:r>
      <w:bookmarkEnd w:id="33"/>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75</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pPr>
        <w:pStyle w:val="Odstavecseseznamem"/>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pPr>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keepNext/>
        <w:keepLines/>
        <w:numPr>
          <w:ilvl w:val="0"/>
          <w:numId w:val="3"/>
        </w:numPr>
        <w:jc w:val="both"/>
        <w:rPr>
          <w:rFonts w:ascii="Calibri" w:hAnsi="Calibri"/>
          <w:sz w:val="22"/>
          <w:szCs w:val="22"/>
        </w:rPr>
      </w:pPr>
      <w:r>
        <w:rPr>
          <w:rFonts w:ascii="Calibri" w:hAnsi="Calibri"/>
          <w:sz w:val="22"/>
          <w:szCs w:val="22"/>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Zhotovitele nebo třetích osob.</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w:t>
      </w:r>
      <w:r>
        <w:rPr>
          <w:rFonts w:asciiTheme="minorHAnsi" w:hAnsiTheme="minorHAnsi" w:cstheme="minorHAnsi"/>
          <w:sz w:val="22"/>
          <w:szCs w:val="22"/>
          <w:lang w:bidi="en-US"/>
        </w:rPr>
        <w:t>60</w:t>
      </w:r>
      <w:r>
        <w:rPr>
          <w:rFonts w:ascii="Calibri" w:hAnsi="Calibri"/>
          <w:sz w:val="22"/>
          <w:szCs w:val="22"/>
        </w:rPr>
        <w:t xml:space="preserve"> měsíců (dále jen „</w:t>
      </w:r>
      <w:r>
        <w:rPr>
          <w:rFonts w:ascii="Calibri" w:hAnsi="Calibri"/>
          <w:b/>
          <w:i/>
          <w:sz w:val="22"/>
          <w:szCs w:val="22"/>
        </w:rPr>
        <w:t>Záruční doba</w:t>
      </w:r>
      <w:r>
        <w:rPr>
          <w:rFonts w:ascii="Calibri" w:hAnsi="Calibri"/>
          <w:sz w:val="22"/>
          <w:szCs w:val="22"/>
        </w:rPr>
        <w:t xml:space="preserve">“). Záruční doba začíná běžet dnem převzetí Díla Objednatelem na základě Předávacího protokolu, v případě, že Dílo bylo předáno bez vad a nedodělků. V případě, že Dílo bylo předáno s drobnými vadami a </w:t>
      </w:r>
      <w:r>
        <w:rPr>
          <w:rFonts w:ascii="Calibri" w:hAnsi="Calibri"/>
          <w:sz w:val="22"/>
          <w:szCs w:val="22"/>
        </w:rPr>
        <w:lastRenderedPageBreak/>
        <w:t xml:space="preserve">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75</w:t>
      </w:r>
      <w:r>
        <w:rPr>
          <w:rFonts w:ascii="Calibri" w:hAnsi="Calibri"/>
          <w:sz w:val="22"/>
          <w:szCs w:val="22"/>
        </w:rPr>
        <w:fldChar w:fldCharType="end"/>
      </w:r>
      <w:r>
        <w:rPr>
          <w:rFonts w:ascii="Calibri" w:hAnsi="Calibri"/>
          <w:sz w:val="22"/>
          <w:szCs w:val="22"/>
        </w:rPr>
        <w:t xml:space="preserve"> Smlouvy, počíná Záruční doba běžet ode dne odstranění všech takových vad a nedodělků.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Dílo bude vadné, nebude-li:</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mít vlastnosti stanovené Smlouvou nebo</w:t>
      </w:r>
    </w:p>
    <w:p>
      <w:pPr>
        <w:numPr>
          <w:ilvl w:val="1"/>
          <w:numId w:val="3"/>
        </w:numPr>
        <w:tabs>
          <w:tab w:val="clear" w:pos="851"/>
        </w:tabs>
        <w:jc w:val="both"/>
        <w:rPr>
          <w:rFonts w:ascii="Calibri" w:hAnsi="Calibri"/>
          <w:sz w:val="22"/>
          <w:szCs w:val="22"/>
        </w:rPr>
      </w:pPr>
      <w:r>
        <w:rPr>
          <w:rFonts w:ascii="Calibri" w:hAnsi="Calibri"/>
          <w:sz w:val="22"/>
          <w:szCs w:val="22"/>
        </w:rPr>
        <w:t>vydáno kolaudační rozhodnutí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způsobilé pro použití k účelu stanovenému Smlouvou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mít vlastnosti sjednané Smlouvou nebo</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nebo kdykoli v průběhu Záruční doby prosté právních vad.</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má práva z vadného plnění i v případě, jedná-li se o vadu, kterou musel s vynaložením obvyklé pozornosti poznat již při převzetí Díla.</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nenese odpovědnost za vady způsobené Objednatelem nebo třetími osobami, ledaže Objednatel nebo takové osoby postupovaly v souladu s dokumenty nebo pokyny, které obdržely od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odpovídá za vady spočívající v opotřebení Díla, ke kterému do konce Záruční doby vzhledem k požadavkům Smlouvy na jakost a provedení Díla nemělo dojít.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Odpovídá-li Zhotovitel za vady Díla, má Objednatel práva z vadného plnění.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je oprávněn vady reklamovat u Zhotovitele písemně. Zhotovitel je povinen přijetí písemné reklamace bez zbytečného odkladu potvrdit. V reklamaci Objednatel uvede popis vady nebo uvede, jak se vada projevuje.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Vada je uplatněna včas, je-li písemná forma reklamace odeslána kontaktní osobě Zhotovitele uvedené v záhlaví této Smlouvy nejpozději v poslední den Záruční doby (oznámení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má právo na náhradu nákladů účelně vynaložených v souvislosti s písemným oznámením vad Zhotoviteli (reklamací).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Nebude-li vada odstraněna ve lhůtě dle předchozího odstavce Smlouvy, má Objednatel právo:</w:t>
      </w:r>
    </w:p>
    <w:p>
      <w:pPr>
        <w:pStyle w:val="Odstavecseseznamem"/>
        <w:numPr>
          <w:ilvl w:val="1"/>
          <w:numId w:val="3"/>
        </w:numPr>
        <w:tabs>
          <w:tab w:val="clear" w:pos="851"/>
        </w:tabs>
        <w:jc w:val="both"/>
        <w:rPr>
          <w:rFonts w:ascii="Calibri" w:hAnsi="Calibri"/>
          <w:sz w:val="22"/>
          <w:szCs w:val="22"/>
        </w:rPr>
      </w:pPr>
      <w:bookmarkStart w:id="34" w:name="_Ref391991533"/>
      <w:bookmarkStart w:id="35" w:name="_Ref397413113"/>
      <w:r>
        <w:rPr>
          <w:rFonts w:ascii="Calibri" w:hAnsi="Calibri"/>
          <w:sz w:val="22"/>
          <w:szCs w:val="22"/>
        </w:rPr>
        <w:t>zajistit odstranění vady jinou odborně způsobilou osobou</w:t>
      </w:r>
      <w:bookmarkEnd w:id="34"/>
      <w:r>
        <w:rPr>
          <w:rFonts w:ascii="Calibri" w:hAnsi="Calibri"/>
          <w:sz w:val="22"/>
          <w:szCs w:val="22"/>
        </w:rPr>
        <w:t xml:space="preserve"> nebo</w:t>
      </w:r>
      <w:bookmarkEnd w:id="35"/>
    </w:p>
    <w:p>
      <w:pPr>
        <w:pStyle w:val="Odstavecseseznamem"/>
        <w:numPr>
          <w:ilvl w:val="1"/>
          <w:numId w:val="3"/>
        </w:numPr>
        <w:tabs>
          <w:tab w:val="clear" w:pos="851"/>
        </w:tabs>
        <w:jc w:val="both"/>
        <w:rPr>
          <w:rFonts w:ascii="Calibri" w:hAnsi="Calibri"/>
          <w:sz w:val="22"/>
          <w:szCs w:val="22"/>
        </w:rPr>
      </w:pPr>
      <w:r>
        <w:rPr>
          <w:rFonts w:ascii="Calibri" w:hAnsi="Calibri"/>
          <w:sz w:val="22"/>
          <w:szCs w:val="22"/>
        </w:rPr>
        <w:t>na přiměřenou slevu z Ceny Díla nebo</w:t>
      </w:r>
    </w:p>
    <w:p>
      <w:pPr>
        <w:pStyle w:val="Odstavecseseznamem"/>
        <w:numPr>
          <w:ilvl w:val="1"/>
          <w:numId w:val="3"/>
        </w:numPr>
        <w:tabs>
          <w:tab w:val="clear" w:pos="851"/>
        </w:tabs>
        <w:jc w:val="both"/>
        <w:rPr>
          <w:rFonts w:ascii="Calibri" w:hAnsi="Calibri"/>
          <w:sz w:val="22"/>
          <w:szCs w:val="22"/>
        </w:rPr>
      </w:pPr>
      <w:r>
        <w:rPr>
          <w:rFonts w:ascii="Calibri" w:hAnsi="Calibri"/>
          <w:color w:val="000000"/>
          <w:sz w:val="22"/>
          <w:szCs w:val="22"/>
        </w:rPr>
        <w:t>od Smlouvy odstoupit;</w:t>
      </w:r>
    </w:p>
    <w:p>
      <w:pPr>
        <w:pStyle w:val="Odstavecseseznamem"/>
        <w:ind w:left="567"/>
        <w:jc w:val="both"/>
        <w:rPr>
          <w:rFonts w:ascii="Calibri" w:hAnsi="Calibri"/>
          <w:sz w:val="22"/>
          <w:szCs w:val="22"/>
        </w:rPr>
      </w:pPr>
      <w:r>
        <w:rPr>
          <w:rFonts w:ascii="Calibri" w:hAnsi="Calibri"/>
          <w:sz w:val="22"/>
          <w:szCs w:val="22"/>
        </w:rPr>
        <w:t xml:space="preserve">to neplatí u vady, která se ukáže jako neodstranitelná, v takovém případě má Objednatel právo na přiměřenou slevu z Ceny Díla nebo právo </w:t>
      </w:r>
      <w:r>
        <w:rPr>
          <w:rFonts w:ascii="Calibri" w:hAnsi="Calibri"/>
          <w:color w:val="000000"/>
          <w:sz w:val="22"/>
          <w:szCs w:val="22"/>
        </w:rPr>
        <w:t>od Smlouvy odstoupit.</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odstavce </w:t>
      </w:r>
      <w:r>
        <w:rPr>
          <w:rFonts w:ascii="Calibri" w:hAnsi="Calibri"/>
          <w:iCs/>
          <w:sz w:val="22"/>
          <w:szCs w:val="22"/>
        </w:rPr>
        <w:fldChar w:fldCharType="begin"/>
      </w:r>
      <w:r>
        <w:rPr>
          <w:rFonts w:ascii="Calibri" w:hAnsi="Calibri"/>
          <w:iCs/>
          <w:sz w:val="22"/>
          <w:szCs w:val="22"/>
        </w:rPr>
        <w:instrText xml:space="preserve"> REF _Ref397413113 \r \h  \* MERGEFORMAT </w:instrText>
      </w:r>
      <w:r>
        <w:rPr>
          <w:rFonts w:ascii="Calibri" w:hAnsi="Calibri"/>
          <w:iCs/>
          <w:sz w:val="22"/>
          <w:szCs w:val="22"/>
        </w:rPr>
      </w:r>
      <w:r>
        <w:rPr>
          <w:rFonts w:ascii="Calibri" w:hAnsi="Calibri"/>
          <w:iCs/>
          <w:sz w:val="22"/>
          <w:szCs w:val="22"/>
        </w:rPr>
        <w:fldChar w:fldCharType="separate"/>
      </w:r>
      <w:r>
        <w:rPr>
          <w:rFonts w:ascii="Calibri" w:hAnsi="Calibri"/>
          <w:iCs/>
          <w:sz w:val="22"/>
          <w:szCs w:val="22"/>
        </w:rPr>
        <w:t>136.1</w:t>
      </w:r>
      <w:r>
        <w:rPr>
          <w:rFonts w:ascii="Calibri" w:hAnsi="Calibri"/>
          <w:iCs/>
          <w:sz w:val="22"/>
          <w:szCs w:val="22"/>
        </w:rPr>
        <w:fldChar w:fldCharType="end"/>
      </w:r>
      <w:r>
        <w:rPr>
          <w:rFonts w:ascii="Calibri" w:hAnsi="Calibri"/>
          <w:iCs/>
          <w:sz w:val="22"/>
          <w:szCs w:val="22"/>
        </w:rPr>
        <w:t xml:space="preserve"> Smlouvy za odstranění vady.</w:t>
      </w:r>
    </w:p>
    <w:p>
      <w:pPr>
        <w:ind w:left="567"/>
        <w:jc w:val="both"/>
        <w:rPr>
          <w:rFonts w:ascii="Calibri" w:hAnsi="Calibri"/>
          <w:sz w:val="22"/>
          <w:szCs w:val="22"/>
        </w:rPr>
      </w:pPr>
    </w:p>
    <w:p>
      <w:pPr>
        <w:numPr>
          <w:ilvl w:val="0"/>
          <w:numId w:val="3"/>
        </w:numPr>
        <w:jc w:val="both"/>
        <w:rPr>
          <w:rFonts w:ascii="Calibri" w:hAnsi="Calibri"/>
          <w:sz w:val="22"/>
          <w:szCs w:val="22"/>
        </w:rPr>
      </w:pPr>
      <w:bookmarkStart w:id="36" w:name="_Ref391979870"/>
      <w:bookmarkStart w:id="37" w:name="_Ref397418466"/>
      <w:r>
        <w:rPr>
          <w:rFonts w:ascii="Calibri" w:hAnsi="Calibr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není-li dohodnuto jinak. Neprovede-li Zhotovitel odstranění vad (havárie) v uvedené lhůtě, je Objednatel oprávněn podle vlastního uvážení vady (havárii) odstranit sám nebo </w:t>
      </w:r>
      <w:r>
        <w:rPr>
          <w:rFonts w:ascii="Calibri" w:hAnsi="Calibri"/>
          <w:color w:val="000000"/>
          <w:sz w:val="22"/>
          <w:szCs w:val="22"/>
        </w:rPr>
        <w:t>zajistit odstranění vady jinou odborně způsobilou osobou</w:t>
      </w:r>
      <w:r>
        <w:rPr>
          <w:rFonts w:ascii="Calibri" w:hAnsi="Calibri"/>
          <w:sz w:val="22"/>
          <w:szCs w:val="22"/>
        </w:rPr>
        <w:t xml:space="preserve">. </w:t>
      </w:r>
      <w:r>
        <w:rPr>
          <w:rFonts w:ascii="Calibri" w:hAnsi="Calibri"/>
          <w:iCs/>
          <w:sz w:val="22"/>
          <w:szCs w:val="22"/>
        </w:rPr>
        <w:t>Veškeré náklady vzniklé Objednateli v souvislosti s odstraněním vady způsobem dle tohoto odstavce Smlouvy je Zhotovitel povinen Objednateli uhradit. Zhotovitel se tak zejména zavazuje uhradit cenu účtovanou Objednateli jinou odborně způsobilou osobou</w:t>
      </w:r>
      <w:bookmarkEnd w:id="36"/>
      <w:r>
        <w:rPr>
          <w:rFonts w:ascii="Calibri" w:hAnsi="Calibri"/>
          <w:iCs/>
          <w:sz w:val="22"/>
          <w:szCs w:val="22"/>
        </w:rPr>
        <w:t>.</w:t>
      </w:r>
      <w:bookmarkEnd w:id="37"/>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w:t>
      </w:r>
      <w:r>
        <w:rPr>
          <w:rFonts w:asciiTheme="minorHAnsi" w:hAnsiTheme="minorHAnsi" w:cstheme="minorHAnsi"/>
          <w:sz w:val="22"/>
          <w:szCs w:val="22"/>
        </w:rPr>
        <w:t>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Prokáže-li se, že Objednatel reklamoval neoprávněně, je povinen uhradit Zhotoviteli prokazatelně a účelně vynaložené náklady na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poskytnout Zhotoviteli součinnost nezbytnou k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se prodlužuje o dobu počínající dnem oznámení každé záruční vady Objednatelem Zhotoviteli a končící dnem řádného odstranění takové záruční vady.</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1917 - 1924</w:t>
      </w:r>
      <w:proofErr w:type="gramEnd"/>
      <w:r>
        <w:rPr>
          <w:rFonts w:ascii="Calibri" w:hAnsi="Calibri"/>
          <w:sz w:val="22"/>
          <w:szCs w:val="22"/>
        </w:rPr>
        <w:t>, § 2099 – 2101, § 2103 - 2117 a § 2165 - 2172 občanského zákoníku se neužijí a rovněž se neužijí obchodní zvyklosti, jež jsou svým smyslem nebo účinky stejné nebo obdobné uvedeným ustanovením.</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PROHLÁŠENÍ SMLUVNÍCH STRAN</w:t>
      </w:r>
    </w:p>
    <w:p>
      <w:pPr>
        <w:keepNext/>
        <w:rPr>
          <w:rFonts w:ascii="Calibri" w:hAnsi="Calibri"/>
          <w:sz w:val="22"/>
          <w:szCs w:val="22"/>
          <w:lang w:eastAsia="ar-SA"/>
        </w:rPr>
      </w:pPr>
    </w:p>
    <w:p>
      <w:pPr>
        <w:numPr>
          <w:ilvl w:val="0"/>
          <w:numId w:val="3"/>
        </w:numPr>
        <w:jc w:val="both"/>
        <w:rPr>
          <w:rFonts w:ascii="Calibri" w:hAnsi="Calibri"/>
          <w:sz w:val="22"/>
          <w:szCs w:val="22"/>
        </w:rPr>
      </w:pPr>
      <w:bookmarkStart w:id="38"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8"/>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Vzhledem k veřejnoprávnímu charakteru Objednatele Zhotovitel výslovně prohlašuje, že je s touto skutečností obeznámen a souhlasí se zveřejněním Smlouvy v rozsahu a za podmínek vyplývajících z příslušných právních předpisů.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si je vědom, že je ve smyslu § 2 písm. e) zákona č. 320/2001 Sb., o finanční kontrole ve veřejné správě a o změně některých zákonů, ve znění pozdějších předpisů (dále jen „</w:t>
      </w:r>
      <w:r>
        <w:rPr>
          <w:rFonts w:ascii="Calibri" w:hAnsi="Calibri"/>
          <w:b/>
          <w:i/>
          <w:sz w:val="22"/>
          <w:szCs w:val="22"/>
        </w:rPr>
        <w:t>Zákon o kontrole</w:t>
      </w:r>
      <w:r>
        <w:rPr>
          <w:rFonts w:ascii="Calibri" w:hAnsi="Calibri"/>
          <w:sz w:val="22"/>
          <w:szCs w:val="22"/>
        </w:rPr>
        <w:t xml:space="preserve">“), povinen spolupůsobit při výkonu finanční kontroly. </w:t>
      </w:r>
    </w:p>
    <w:p>
      <w:pPr>
        <w:pStyle w:val="Odstavec"/>
        <w:keepLines/>
        <w:ind w:left="567" w:firstLine="0"/>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ind w:left="567" w:firstLine="0"/>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Jakékoliv změny údajů uvedených v záhlaví této Smlouvy, jež nastanou v době po uzavření Smlouvy, jsou Smluvní strany povinny bez zbytečného odkladu písemně sdělit druhé Smluvní straně.</w:t>
      </w:r>
    </w:p>
    <w:p>
      <w:pPr>
        <w:pStyle w:val="Odstavecseseznamem"/>
        <w:ind w:left="567"/>
        <w:jc w:val="both"/>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Odstavec"/>
        <w:keepLines/>
        <w:ind w:firstLine="0"/>
        <w:rPr>
          <w:rFonts w:ascii="Calibri" w:hAnsi="Calibri"/>
          <w:sz w:val="22"/>
          <w:szCs w:val="22"/>
        </w:rPr>
      </w:pP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9"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 vč. DPH</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9"/>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40"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40"/>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jc w:val="both"/>
        <w:rPr>
          <w:rFonts w:ascii="Calibri" w:hAnsi="Calibri"/>
          <w:sz w:val="22"/>
          <w:szCs w:val="22"/>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 je Zhotovitel povinen uhradit Objednateli smluvní pokutu ve výši 0,05 % z Ceny Díla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vady Díla, je povinen uhradit Objednateli smluvní pokutu ve výši </w:t>
      </w:r>
      <w:proofErr w:type="gramStart"/>
      <w:r>
        <w:rPr>
          <w:rFonts w:asciiTheme="minorHAnsi" w:hAnsiTheme="minorHAnsi" w:cstheme="minorHAnsi"/>
          <w:sz w:val="22"/>
          <w:szCs w:val="22"/>
          <w:lang w:bidi="en-US"/>
        </w:rPr>
        <w:t>10.000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lastRenderedPageBreak/>
        <w:fldChar w:fldCharType="begin"/>
      </w:r>
      <w:r>
        <w:rPr>
          <w:rFonts w:ascii="Calibri" w:hAnsi="Calibri"/>
          <w:sz w:val="22"/>
          <w:szCs w:val="22"/>
        </w:rPr>
        <w:instrText xml:space="preserve"> REF _Ref397413113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136.1</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havárii Díla ve smyslu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138</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Theme="minorHAnsi" w:hAnsiTheme="minorHAnsi" w:cstheme="minorHAnsi"/>
          <w:sz w:val="22"/>
          <w:szCs w:val="22"/>
          <w:lang w:bidi="en-US"/>
        </w:rPr>
        <w:t>20.000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138</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ve sjednané lhůtě zpět vyklizené staveniště Objednateli,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pStyle w:val="Odstavecseseznamem"/>
        <w:ind w:left="567"/>
        <w:jc w:val="both"/>
        <w:rPr>
          <w:rFonts w:ascii="Calibri" w:hAnsi="Calibri"/>
          <w:sz w:val="22"/>
          <w:szCs w:val="22"/>
        </w:rPr>
      </w:pP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Poruší-li Zhotovitel povinnost podle odst. </w:t>
      </w:r>
      <w:r>
        <w:rPr>
          <w:rFonts w:ascii="Calibri" w:hAnsi="Calibri"/>
          <w:sz w:val="22"/>
          <w:szCs w:val="22"/>
        </w:rPr>
        <w:fldChar w:fldCharType="begin"/>
      </w:r>
      <w:r>
        <w:rPr>
          <w:rFonts w:ascii="Calibri" w:hAnsi="Calibri"/>
          <w:sz w:val="22"/>
          <w:szCs w:val="22"/>
        </w:rPr>
        <w:instrText xml:space="preserve"> REF _Ref203369635 \r \h </w:instrText>
      </w:r>
      <w:r>
        <w:rPr>
          <w:rFonts w:ascii="Calibri" w:hAnsi="Calibri"/>
          <w:sz w:val="22"/>
          <w:szCs w:val="22"/>
        </w:rPr>
      </w:r>
      <w:r>
        <w:rPr>
          <w:rFonts w:ascii="Calibri" w:hAnsi="Calibri"/>
          <w:sz w:val="22"/>
          <w:szCs w:val="22"/>
        </w:rPr>
        <w:fldChar w:fldCharType="separate"/>
      </w:r>
      <w:r>
        <w:rPr>
          <w:rFonts w:ascii="Calibri" w:hAnsi="Calibri"/>
          <w:sz w:val="22"/>
          <w:szCs w:val="22"/>
        </w:rPr>
        <w:t>15</w:t>
      </w:r>
      <w:r>
        <w:rPr>
          <w:rFonts w:ascii="Calibri" w:hAnsi="Calibri"/>
          <w:sz w:val="22"/>
          <w:szCs w:val="22"/>
        </w:rPr>
        <w:fldChar w:fldCharType="end"/>
      </w:r>
      <w:r>
        <w:rPr>
          <w:rFonts w:ascii="Calibri" w:hAnsi="Calibri"/>
          <w:sz w:val="22"/>
          <w:szCs w:val="22"/>
        </w:rPr>
        <w:t xml:space="preserve"> Smlouvy, je povinen uhradit V případě porušení této povinnosti se Zhotovitel zavazuje uhradit Objednateli smluvní pokutu ve výši </w:t>
      </w:r>
      <w:proofErr w:type="gramStart"/>
      <w:r>
        <w:rPr>
          <w:rFonts w:ascii="Calibri" w:hAnsi="Calibri"/>
          <w:sz w:val="22"/>
          <w:szCs w:val="22"/>
        </w:rPr>
        <w:t>10.000,-</w:t>
      </w:r>
      <w:proofErr w:type="gramEnd"/>
      <w:r>
        <w:rPr>
          <w:rFonts w:ascii="Calibri" w:hAnsi="Calibri"/>
          <w:sz w:val="22"/>
          <w:szCs w:val="22"/>
        </w:rPr>
        <w:t xml:space="preserve"> Kč za každé jednotlivé porušení. </w:t>
      </w:r>
    </w:p>
    <w:p>
      <w:pPr>
        <w:suppressAutoHyphens/>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Poruší-li Zhotovitel jakoukoliv povinnost dle odstavce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20</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153</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154</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_Ref433120701 \r \h </w:instrText>
      </w:r>
      <w:r>
        <w:rPr>
          <w:rFonts w:ascii="Calibri" w:hAnsi="Calibri"/>
          <w:sz w:val="22"/>
          <w:szCs w:val="22"/>
        </w:rPr>
      </w:r>
      <w:r>
        <w:rPr>
          <w:rFonts w:ascii="Calibri" w:hAnsi="Calibri"/>
          <w:sz w:val="22"/>
          <w:szCs w:val="22"/>
        </w:rPr>
        <w:fldChar w:fldCharType="separate"/>
      </w:r>
      <w:r>
        <w:rPr>
          <w:rFonts w:ascii="Calibri" w:hAnsi="Calibri"/>
          <w:sz w:val="22"/>
          <w:szCs w:val="22"/>
        </w:rPr>
        <w:t>61</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Theme="minorHAnsi" w:hAnsiTheme="minorHAnsi" w:cstheme="minorHAnsi"/>
          <w:sz w:val="22"/>
          <w:szCs w:val="22"/>
          <w:lang w:bidi="en-US"/>
        </w:rPr>
        <w:t>20.000</w:t>
      </w:r>
      <w:r>
        <w:rPr>
          <w:rFonts w:ascii="Calibri" w:hAnsi="Calibri"/>
          <w:sz w:val="22"/>
          <w:szCs w:val="22"/>
        </w:rPr>
        <w:t>,-</w:t>
      </w:r>
      <w:proofErr w:type="gramEnd"/>
      <w:r>
        <w:rPr>
          <w:rFonts w:ascii="Calibri" w:hAnsi="Calibri"/>
          <w:sz w:val="22"/>
          <w:szCs w:val="22"/>
        </w:rPr>
        <w:t xml:space="preserve"> Kč za každé jednotlivé porušení.</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 xml:space="preserve">Poruší-li nebo způsobí-li Zhotovitel svým jednáním porušení jakéhokoliv požadavku stanoveného v podmínkách pro poskytnutí dotace z Programu, a to i požadavků podle odst. </w:t>
      </w:r>
      <w:r>
        <w:rPr>
          <w:rFonts w:ascii="Calibri" w:hAnsi="Calibri"/>
          <w:sz w:val="22"/>
          <w:szCs w:val="22"/>
        </w:rPr>
        <w:fldChar w:fldCharType="begin"/>
      </w:r>
      <w:r>
        <w:rPr>
          <w:rFonts w:ascii="Calibri" w:hAnsi="Calibri"/>
          <w:sz w:val="22"/>
          <w:szCs w:val="22"/>
        </w:rPr>
        <w:instrText xml:space="preserve"> REF _Ref203478111 \r \h </w:instrText>
      </w:r>
      <w:r>
        <w:rPr>
          <w:rFonts w:ascii="Calibri" w:hAnsi="Calibri"/>
          <w:sz w:val="22"/>
          <w:szCs w:val="22"/>
        </w:rPr>
      </w:r>
      <w:r>
        <w:rPr>
          <w:rFonts w:ascii="Calibri" w:hAnsi="Calibri"/>
          <w:sz w:val="22"/>
          <w:szCs w:val="22"/>
        </w:rPr>
        <w:fldChar w:fldCharType="separate"/>
      </w:r>
      <w:r>
        <w:rPr>
          <w:rFonts w:ascii="Calibri" w:hAnsi="Calibri"/>
          <w:sz w:val="22"/>
          <w:szCs w:val="22"/>
        </w:rPr>
        <w:t>95</w:t>
      </w:r>
      <w:r>
        <w:rPr>
          <w:rFonts w:ascii="Calibri" w:hAnsi="Calibri"/>
          <w:sz w:val="22"/>
          <w:szCs w:val="22"/>
        </w:rPr>
        <w:fldChar w:fldCharType="end"/>
      </w:r>
      <w:r>
        <w:rPr>
          <w:rFonts w:ascii="Calibri" w:hAnsi="Calibri"/>
          <w:sz w:val="22"/>
          <w:szCs w:val="22"/>
        </w:rPr>
        <w:t xml:space="preserve"> Smlouvy, je Zhotovitel povinen zaplatit Objednateli smluvní pokutu ve výši </w:t>
      </w:r>
      <w:proofErr w:type="gramStart"/>
      <w:r>
        <w:rPr>
          <w:rFonts w:ascii="Calibri" w:hAnsi="Calibri"/>
          <w:sz w:val="22"/>
          <w:szCs w:val="22"/>
        </w:rPr>
        <w:t>50.000,-</w:t>
      </w:r>
      <w:proofErr w:type="gramEnd"/>
      <w:r>
        <w:rPr>
          <w:rFonts w:ascii="Calibri" w:hAnsi="Calibri"/>
          <w:sz w:val="22"/>
          <w:szCs w:val="22"/>
        </w:rPr>
        <w:t xml:space="preserve"> Kč za každý zjištěný případ porušení této povinnosti.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zaplatit část Ceny Díla ve sjednané době, je povinen uhradit Zhotoviteli zákonný úrok z prodlení ve výši dle právních předpisů.</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ODSTOUPENÍ OD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Objednatel je oprávněn od Smlouvy odstoupit z důvodů stanovených právními předpisy nebo Smlouvou. Objednatel je oprávněn odstoupit od Smlouvy ohledně celého plnění i v případě, že Zhotovitel již zčásti plnil.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odstoupit od Smlouvy zejména: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podstatného porušení Smlouvy Zhotovitelem;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v případě, že výdaje, které by mu na základě Smlouvy měly vzniknout, budou poskytovatelem dotace, případně jiným oprávněným správním orgánem označeny za nezpůsobilé k proplacení z dotace;</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146</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66</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bezdůvodně nebo z důvodů na své straně přeruší provádění Díla;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poruší jakoukoliv svoji povinnost uvedenou v odstavci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18</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20</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153</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154</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_Ref433120701 \r \h </w:instrText>
      </w:r>
      <w:r>
        <w:rPr>
          <w:rFonts w:ascii="Calibri" w:hAnsi="Calibri"/>
          <w:sz w:val="22"/>
          <w:szCs w:val="22"/>
        </w:rPr>
      </w:r>
      <w:r>
        <w:rPr>
          <w:rFonts w:ascii="Calibri" w:hAnsi="Calibri"/>
          <w:sz w:val="22"/>
          <w:szCs w:val="22"/>
        </w:rPr>
        <w:fldChar w:fldCharType="separate"/>
      </w:r>
      <w:r>
        <w:rPr>
          <w:rFonts w:ascii="Calibri" w:hAnsi="Calibri"/>
          <w:sz w:val="22"/>
          <w:szCs w:val="22"/>
        </w:rPr>
        <w:t>61</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nebude Objednateli poskytnuta dotace z Programu.</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173</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41"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73</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w:t>
      </w:r>
      <w:r>
        <w:rPr>
          <w:rFonts w:ascii="Calibri" w:hAnsi="Calibri"/>
          <w:sz w:val="22"/>
          <w:szCs w:val="22"/>
        </w:rPr>
        <w:lastRenderedPageBreak/>
        <w:t>finanční vyrovnání Smluvních stran. Objednatel uhradí Zhotoviteli provedenou část Díla podle podmínek Smlouvy.</w:t>
      </w:r>
      <w:bookmarkEnd w:id="41"/>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szCs w:val="22"/>
        </w:rPr>
      </w:pPr>
      <w:bookmarkStart w:id="42" w:name="_Toc383117526"/>
      <w:r>
        <w:rPr>
          <w:szCs w:val="22"/>
        </w:rPr>
        <w:t>OSTATNÍ UJEDNÁNÍ</w:t>
      </w:r>
      <w:bookmarkEnd w:id="42"/>
    </w:p>
    <w:p>
      <w:pPr>
        <w:keepNext/>
        <w:tabs>
          <w:tab w:val="left" w:pos="567"/>
        </w:tabs>
        <w:suppressAutoHyphens/>
        <w:ind w:left="567"/>
        <w:jc w:val="both"/>
        <w:rPr>
          <w:rFonts w:ascii="Calibri" w:hAnsi="Calibri"/>
          <w:sz w:val="22"/>
          <w:szCs w:val="22"/>
        </w:rPr>
      </w:pPr>
    </w:p>
    <w:p>
      <w:pPr>
        <w:keepNext/>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TDS nesmí provádět Zhotovitel ani osoba s ním propojená. Zhotovitel prohlašuje, že on ani osoba s ním propojená nevykonává při realizaci Díla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Objednatel je povinným subjektem podle zákona č. 106/1999 Sb., o svobodném přístupu k informacím, ve znění pozdějších předpisů.</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souhlasí s uveřejněním Smlouvy včetně všech případných dodatků, výše skutečně uhrazené ceny na základě Smlouvy a dalších údajů na profilu Objednatele.</w:t>
      </w:r>
    </w:p>
    <w:p>
      <w:pPr>
        <w:tabs>
          <w:tab w:val="left" w:pos="567"/>
        </w:tabs>
        <w:ind w:left="567"/>
        <w:jc w:val="both"/>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Dílo, majetek Objednatele a majetek sousedící s místem provádění Díla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Písemnou formou (podobou) se rozumí listina podepsaná oprávněnou osobou Smluvní strany nebo e-mail oprávněné osoby Smluvní strany.</w:t>
      </w:r>
    </w:p>
    <w:p>
      <w:pPr>
        <w:pStyle w:val="Odstavecseseznamem"/>
        <w:rPr>
          <w:rFonts w:ascii="Calibri" w:hAnsi="Calibri"/>
          <w:sz w:val="22"/>
          <w:szCs w:val="22"/>
        </w:rPr>
      </w:pP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uchovávat veškerou dokumentaci související s prováděním Díla včetně účetních dokladů minimálně do 31.12.2035. Pokud je v českých právních předpisech stanovena lhůta delší, musí být dodržena tato. </w:t>
      </w: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minimálně do 31.12.2035 poskytovat požadované informace a dokumentaci související s provedením Díla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provádění Díla a poskytnout jim při provádění kontroly součinnost.</w:t>
      </w:r>
    </w:p>
    <w:p>
      <w:pPr>
        <w:pStyle w:val="Odstavecseseznamem"/>
        <w:numPr>
          <w:ilvl w:val="0"/>
          <w:numId w:val="3"/>
        </w:numPr>
        <w:jc w:val="both"/>
        <w:rPr>
          <w:rFonts w:ascii="Calibri" w:hAnsi="Calibri"/>
          <w:color w:val="000000" w:themeColor="text1"/>
          <w:sz w:val="22"/>
          <w:szCs w:val="22"/>
        </w:rPr>
      </w:pPr>
      <w:bookmarkStart w:id="43" w:name="_Ref158370076"/>
      <w:bookmarkStart w:id="44" w:name="_Hlk158371739"/>
      <w:r>
        <w:rPr>
          <w:rFonts w:ascii="Calibri" w:hAnsi="Calibri"/>
          <w:color w:val="000000" w:themeColor="text1"/>
          <w:sz w:val="22"/>
          <w:szCs w:val="22"/>
        </w:rPr>
        <w:t>Zhotovitel prohlašuje, že si je vědom skutečnosti, že Objednatel zadal Veřejnou zakázku v souladu se zásadami sociální odpovědnosti, environmentální odpovědnosti a inovací ve smyslu ZZVZ,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bookmarkEnd w:id="43"/>
      <w:bookmarkEnd w:id="44"/>
    </w:p>
    <w:p>
      <w:pPr>
        <w:jc w:val="both"/>
        <w:rPr>
          <w:rFonts w:ascii="Calibri" w:hAnsi="Calibri"/>
          <w:sz w:val="22"/>
          <w:szCs w:val="22"/>
        </w:rPr>
      </w:pPr>
    </w:p>
    <w:p>
      <w:pPr>
        <w:pStyle w:val="Odstavecseseznamem"/>
        <w:rPr>
          <w:rFonts w:ascii="Calibri" w:hAnsi="Calibri"/>
          <w:sz w:val="22"/>
          <w:szCs w:val="22"/>
        </w:rPr>
      </w:pPr>
    </w:p>
    <w:p>
      <w:pPr>
        <w:pStyle w:val="Nadpis1"/>
        <w:rPr>
          <w:szCs w:val="22"/>
        </w:rPr>
      </w:pPr>
      <w:bookmarkStart w:id="45" w:name="_Toc383117528"/>
      <w:r>
        <w:rPr>
          <w:szCs w:val="22"/>
        </w:rPr>
        <w:t>ZÁVĚREČNÁ UJEDNÁNÍ</w:t>
      </w:r>
      <w:bookmarkEnd w:id="45"/>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Smlouvu lze měnit pouze písemnými dodatky. Jakékoli změny Smlouvy učiněné </w:t>
      </w:r>
      <w:proofErr w:type="gramStart"/>
      <w:r>
        <w:rPr>
          <w:rFonts w:ascii="Calibri" w:hAnsi="Calibri"/>
          <w:sz w:val="22"/>
          <w:szCs w:val="22"/>
        </w:rPr>
        <w:t>jinou</w:t>
      </w:r>
      <w:proofErr w:type="gramEnd"/>
      <w:r>
        <w:rPr>
          <w:rFonts w:ascii="Calibri" w:hAnsi="Calibri"/>
          <w:sz w:val="22"/>
          <w:szCs w:val="22"/>
        </w:rPr>
        <w:t xml:space="preserve"> než písemnou formou jsou vyloučeny.</w:t>
      </w:r>
    </w:p>
    <w:p>
      <w:pPr>
        <w:pStyle w:val="Odstavecseseznamem"/>
        <w:ind w:left="567"/>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ind w:left="180"/>
        <w:rPr>
          <w:rFonts w:asciiTheme="minorHAnsi" w:hAnsiTheme="minorHAnsi" w:cstheme="minorHAnsi"/>
          <w:sz w:val="22"/>
          <w:szCs w:val="22"/>
        </w:rPr>
      </w:pPr>
      <w:r>
        <w:rPr>
          <w:rFonts w:asciiTheme="minorHAnsi" w:hAnsiTheme="minorHAnsi" w:cstheme="minorHAnsi"/>
          <w:sz w:val="22"/>
          <w:szCs w:val="22"/>
        </w:rPr>
        <w:t xml:space="preserve">Uzavření této smlouvy bylo schváleno Radou města Žďár nad Sázavou na schůzi č. 82, konané dne </w:t>
      </w:r>
      <w:r>
        <w:rPr>
          <w:rFonts w:asciiTheme="minorHAnsi" w:hAnsiTheme="minorHAnsi" w:cstheme="minorHAnsi"/>
          <w:sz w:val="22"/>
          <w:szCs w:val="22"/>
          <w:lang w:bidi="en-US"/>
        </w:rPr>
        <w:t>21.07.2025</w:t>
      </w:r>
      <w:r>
        <w:rPr>
          <w:rFonts w:asciiTheme="minorHAnsi" w:hAnsiTheme="minorHAnsi" w:cstheme="minorHAnsi"/>
          <w:sz w:val="22"/>
          <w:szCs w:val="22"/>
        </w:rPr>
        <w:t xml:space="preserve">, a to usnesením č. </w:t>
      </w:r>
      <w:r>
        <w:rPr>
          <w:rFonts w:asciiTheme="minorHAnsi" w:hAnsiTheme="minorHAnsi" w:cstheme="minorHAnsi"/>
          <w:sz w:val="22"/>
          <w:szCs w:val="22"/>
          <w:lang w:bidi="en-US"/>
        </w:rPr>
        <w:t>3722/2025/SRI/RM</w:t>
      </w:r>
      <w:r>
        <w:rPr>
          <w:rFonts w:asciiTheme="minorHAnsi" w:hAnsiTheme="minorHAnsi" w:cstheme="minorHAnsi"/>
          <w:sz w:val="22"/>
          <w:szCs w:val="22"/>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46" w:name="_Ref383095347"/>
      <w:bookmarkStart w:id="47"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A:</w:t>
      </w:r>
      <w:r>
        <w:rPr>
          <w:rFonts w:ascii="Calibri" w:hAnsi="Calibri"/>
          <w:sz w:val="22"/>
          <w:szCs w:val="22"/>
        </w:rPr>
        <w:tab/>
      </w:r>
      <w:bookmarkEnd w:id="46"/>
      <w:r>
        <w:rPr>
          <w:rFonts w:ascii="Calibri" w:hAnsi="Calibri"/>
          <w:sz w:val="22"/>
          <w:szCs w:val="22"/>
        </w:rPr>
        <w:t>Projektová dokumentace</w:t>
      </w:r>
      <w:bookmarkEnd w:id="47"/>
      <w:r>
        <w:rPr>
          <w:rFonts w:ascii="Calibri" w:hAnsi="Calibri"/>
          <w:sz w:val="22"/>
          <w:szCs w:val="22"/>
        </w:rPr>
        <w:t xml:space="preserve"> „Rekonstrukce rybníka Velký Žďárský“</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B:</w:t>
      </w:r>
      <w:r>
        <w:rPr>
          <w:rFonts w:ascii="Calibri" w:hAnsi="Calibri"/>
          <w:sz w:val="22"/>
          <w:szCs w:val="22"/>
        </w:rPr>
        <w:tab/>
        <w:t xml:space="preserve">Projektová dokumentace „Doplnění vybavenosti v okolí Velkého Žďárského </w:t>
      </w:r>
      <w:r>
        <w:rPr>
          <w:rFonts w:ascii="Calibri" w:hAnsi="Calibri"/>
          <w:sz w:val="22"/>
          <w:szCs w:val="22"/>
        </w:rPr>
        <w:tab/>
      </w:r>
      <w:r>
        <w:rPr>
          <w:rFonts w:ascii="Calibri" w:hAnsi="Calibri"/>
          <w:sz w:val="22"/>
          <w:szCs w:val="22"/>
        </w:rPr>
        <w:tab/>
      </w:r>
      <w:r>
        <w:rPr>
          <w:rFonts w:ascii="Calibri" w:hAnsi="Calibri"/>
          <w:sz w:val="22"/>
          <w:szCs w:val="22"/>
        </w:rPr>
        <w:tab/>
        <w:t>rybníka“</w:t>
      </w:r>
    </w:p>
    <w:p>
      <w:pPr>
        <w:pStyle w:val="Odstavecseseznamem"/>
        <w:keepNext/>
        <w:numPr>
          <w:ilvl w:val="0"/>
          <w:numId w:val="8"/>
        </w:numPr>
        <w:ind w:left="567" w:hanging="567"/>
        <w:jc w:val="both"/>
        <w:rPr>
          <w:rFonts w:ascii="Calibri" w:hAnsi="Calibri"/>
          <w:sz w:val="22"/>
          <w:szCs w:val="22"/>
        </w:rPr>
      </w:pPr>
      <w:bookmarkStart w:id="48" w:name="_Ref434937891"/>
      <w:bookmarkStart w:id="49"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w:t>
      </w:r>
      <w:r>
        <w:rPr>
          <w:rFonts w:ascii="Calibri" w:hAnsi="Calibri"/>
          <w:sz w:val="22"/>
          <w:szCs w:val="22"/>
        </w:rPr>
        <w:fldChar w:fldCharType="end"/>
      </w:r>
      <w:r>
        <w:rPr>
          <w:rFonts w:ascii="Calibri" w:hAnsi="Calibri"/>
          <w:sz w:val="22"/>
          <w:szCs w:val="22"/>
        </w:rPr>
        <w:t>A:</w:t>
      </w:r>
      <w:r>
        <w:rPr>
          <w:rFonts w:ascii="Calibri" w:hAnsi="Calibri"/>
          <w:sz w:val="22"/>
          <w:szCs w:val="22"/>
        </w:rPr>
        <w:tab/>
        <w:t>Položkový rozpočet</w:t>
      </w:r>
      <w:bookmarkEnd w:id="48"/>
      <w:r>
        <w:rPr>
          <w:rFonts w:ascii="Calibri" w:hAnsi="Calibri"/>
          <w:sz w:val="22"/>
          <w:szCs w:val="22"/>
        </w:rPr>
        <w:t xml:space="preserve"> „Rekonstrukce rybníka Velký Žďárský“</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w:t>
      </w:r>
      <w:r>
        <w:rPr>
          <w:rFonts w:ascii="Calibri" w:hAnsi="Calibri"/>
          <w:sz w:val="22"/>
          <w:szCs w:val="22"/>
        </w:rPr>
        <w:fldChar w:fldCharType="end"/>
      </w:r>
      <w:r>
        <w:rPr>
          <w:rFonts w:ascii="Calibri" w:hAnsi="Calibri"/>
          <w:sz w:val="22"/>
          <w:szCs w:val="22"/>
        </w:rPr>
        <w:t>B:</w:t>
      </w:r>
      <w:r>
        <w:rPr>
          <w:rFonts w:ascii="Calibri" w:hAnsi="Calibri"/>
          <w:sz w:val="22"/>
          <w:szCs w:val="22"/>
        </w:rPr>
        <w:tab/>
        <w:t>Položkový rozpočet „Doplnění vybavenosti v okolí Velkého Žďárského rybníka“</w:t>
      </w:r>
    </w:p>
    <w:p>
      <w:pPr>
        <w:pStyle w:val="Odstavecseseznamem"/>
        <w:keepNext/>
        <w:numPr>
          <w:ilvl w:val="0"/>
          <w:numId w:val="8"/>
        </w:numPr>
        <w:ind w:left="567" w:hanging="567"/>
        <w:jc w:val="both"/>
        <w:rPr>
          <w:rFonts w:ascii="Calibri" w:hAnsi="Calibri"/>
          <w:sz w:val="22"/>
          <w:szCs w:val="22"/>
        </w:rPr>
      </w:pPr>
      <w:bookmarkStart w:id="50" w:name="_Ref383515734"/>
      <w:bookmarkStart w:id="51"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5</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End w:id="49"/>
      <w:bookmarkEnd w:id="50"/>
      <w:bookmarkEnd w:id="51"/>
      <w:r>
        <w:rPr>
          <w:rFonts w:asciiTheme="minorHAnsi" w:hAnsiTheme="minorHAnsi" w:cstheme="minorHAnsi"/>
          <w:sz w:val="22"/>
          <w:szCs w:val="22"/>
          <w:lang w:bidi="en-US"/>
        </w:rPr>
        <w:t>Seznam poddodavatelů</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 xml:space="preserve">dne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sz w:val="22"/>
          <w:szCs w:val="22"/>
        </w:rPr>
      </w:pPr>
    </w:p>
    <w:p>
      <w:pPr>
        <w:jc w:val="both"/>
        <w:rPr>
          <w:rFonts w:ascii="Calibri" w:hAnsi="Calibri"/>
          <w:b/>
          <w:bCs/>
          <w:sz w:val="22"/>
          <w:szCs w:val="22"/>
        </w:rPr>
      </w:pPr>
      <w:r>
        <w:rPr>
          <w:rFonts w:ascii="Calibri" w:hAnsi="Calibri"/>
          <w:b/>
          <w:bCs/>
          <w:sz w:val="22"/>
          <w:szCs w:val="22"/>
        </w:rPr>
        <w:br w:type="page"/>
      </w: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3</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cstheme="minorHAnsi"/>
          <w:sz w:val="22"/>
          <w:szCs w:val="22"/>
          <w:lang w:bidi="en-US"/>
        </w:rPr>
        <w:t>3</w:t>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Seznam poddodavatelů bude ke Smlouvě přiložen při jejím uzavřením s vybraným dodavatelem dle nabídky předložené jím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p>
    <w:p>
      <w:pPr>
        <w:jc w:val="both"/>
        <w:rPr>
          <w:rFonts w:ascii="Calibri" w:hAnsi="Calibri"/>
          <w:b/>
          <w:bCs/>
          <w:sz w:val="22"/>
          <w:szCs w:val="22"/>
        </w:rPr>
      </w:pPr>
    </w:p>
    <w:p>
      <w:pPr>
        <w:jc w:val="both"/>
        <w:rPr>
          <w:rFonts w:ascii="Calibri" w:hAnsi="Calibri"/>
          <w:b/>
          <w:bCs/>
          <w:sz w:val="22"/>
          <w:szCs w:val="22"/>
        </w:rPr>
      </w:pPr>
    </w:p>
    <w:sectPr>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32</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Theme="minorHAnsi" w:hAnsiTheme="minorHAnsi" w:cstheme="minorHAnsi"/>
          <w:color w:val="000000" w:themeColor="text1"/>
        </w:rPr>
      </w:pPr>
      <w:r>
        <w:rPr>
          <w:rStyle w:val="Znakapoznpodarou"/>
          <w:rFonts w:asciiTheme="minorHAnsi" w:hAnsiTheme="minorHAnsi" w:cstheme="minorHAnsi"/>
        </w:rPr>
        <w:footnoteRef/>
      </w:r>
      <w:r>
        <w:rPr>
          <w:rFonts w:asciiTheme="minorHAnsi" w:hAnsiTheme="minorHAnsi" w:cstheme="minorHAnsi"/>
        </w:rPr>
        <w:t xml:space="preserve"> Dokument Informace dostupný online na</w:t>
      </w:r>
      <w:r>
        <w:rPr>
          <w:rFonts w:asciiTheme="minorHAnsi" w:hAnsiTheme="minorHAnsi" w:cstheme="minorHAnsi"/>
          <w:color w:val="000000" w:themeColor="text1"/>
        </w:rPr>
        <w:t xml:space="preserve">: </w:t>
      </w:r>
      <w:hyperlink r:id="rId1" w:history="1">
        <w:r>
          <w:rPr>
            <w:rStyle w:val="Hypertextovodkaz"/>
            <w:rFonts w:asciiTheme="minorHAnsi" w:hAnsiTheme="minorHAnsi" w:cstheme="minorHAnsi"/>
            <w:color w:val="000000" w:themeColor="text1"/>
          </w:rPr>
          <w:t>https://irop.gov.cz/getmedia/fd33f2cf-494c-4bef-916b-b201d050e9c4/Doprovodna-informace-k-Zavaznemu-stanovisku-c-7-a-c-29.pdf.aspx?ext=.pdf</w:t>
        </w:r>
      </w:hyperlink>
      <w:r>
        <w:rPr>
          <w:rFonts w:asciiTheme="minorHAnsi" w:hAnsiTheme="minorHAnsi" w:cstheme="minorHAnsi"/>
          <w:color w:val="000000" w:themeColor="text1"/>
        </w:rPr>
        <w:t xml:space="preserve"> a </w:t>
      </w:r>
      <w:hyperlink r:id="rId2" w:history="1">
        <w:r>
          <w:rPr>
            <w:rStyle w:val="Hypertextovodkaz"/>
            <w:rFonts w:asciiTheme="minorHAnsi" w:hAnsiTheme="minorHAnsi" w:cstheme="minorHAnsi"/>
            <w:color w:val="000000" w:themeColor="text1"/>
          </w:rPr>
          <w:t>https://irop.gov.cz/getmedia/4f871294-cbd6-4b94-b92c-4550e459d9c1/DNSH_Nakladani-s-odpady_Info-pro-zadatele_07-2023.pdf.aspx?ext=.pdf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8036D"/>
    <w:multiLevelType w:val="multilevel"/>
    <w:tmpl w:val="0DC4928A"/>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3B27B1F"/>
    <w:multiLevelType w:val="multilevel"/>
    <w:tmpl w:val="568A4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52875BAD"/>
    <w:multiLevelType w:val="multilevel"/>
    <w:tmpl w:val="87B24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1"/>
  </w:num>
  <w:num w:numId="5">
    <w:abstractNumId w:val="2"/>
  </w:num>
  <w:num w:numId="6">
    <w:abstractNumId w:val="5"/>
  </w:num>
  <w:num w:numId="7">
    <w:abstractNumId w:val="8"/>
  </w:num>
  <w:num w:numId="8">
    <w:abstractNumId w:val="10"/>
  </w:num>
  <w:num w:numId="9">
    <w:abstractNumId w:val="6"/>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paragraph">
    <w:name w:val="paragraph"/>
    <w:basedOn w:val="Normln"/>
    <w:pPr>
      <w:spacing w:before="100" w:beforeAutospacing="1" w:after="100" w:afterAutospacing="1"/>
    </w:pPr>
    <w:rPr>
      <w:sz w:val="24"/>
      <w:szCs w:val="24"/>
    </w:rPr>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796">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7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rop.gov.cz/getmedia/4f871294-cbd6-4b94-b92c-4550e459d9c1/DNSH_Nakladani-s-odpady_Info-pro-zadatele_07-2023.pdf.aspx?ext=.pdf" TargetMode="External"/><Relationship Id="rId1" Type="http://schemas.openxmlformats.org/officeDocument/2006/relationships/hyperlink" Target="https://irop.gov.cz/getmedia/fd33f2cf-494c-4bef-916b-b201d050e9c4/Doprovodna-informace-k-Zavaznemu-stanovisku-c-7-a-c-29.pdf.aspx?ex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7C99E8CD363941C98F67E7EC22976F74"/>
        <w:category>
          <w:name w:val="Obecné"/>
          <w:gallery w:val="placeholder"/>
        </w:category>
        <w:types>
          <w:type w:val="bbPlcHdr"/>
        </w:types>
        <w:behaviors>
          <w:behavior w:val="content"/>
        </w:behaviors>
        <w:guid w:val="{AE8CE4C7-6E8C-4419-954A-6BC06B177502}"/>
      </w:docPartPr>
      <w:docPartBody>
        <w:p>
          <w:pPr>
            <w:pStyle w:val="7C99E8CD363941C98F67E7EC22976F74"/>
          </w:pPr>
          <w:r>
            <w:rPr>
              <w:rStyle w:val="Zstupntext"/>
              <w:highlight w:val="yellow"/>
            </w:rPr>
            <w:t>zvolte položku</w:t>
          </w:r>
        </w:p>
      </w:docPartBody>
    </w:docPart>
    <w:docPart>
      <w:docPartPr>
        <w:name w:val="D3E111079DD24774923EF9C3529E925F"/>
        <w:category>
          <w:name w:val="Obecné"/>
          <w:gallery w:val="placeholder"/>
        </w:category>
        <w:types>
          <w:type w:val="bbPlcHdr"/>
        </w:types>
        <w:behaviors>
          <w:behavior w:val="content"/>
        </w:behaviors>
        <w:guid w:val="{69D1E033-CB53-4181-AC71-AA2A1EFEE0E8}"/>
      </w:docPartPr>
      <w:docPartBody>
        <w:p>
          <w:pPr>
            <w:pStyle w:val="D3E111079DD24774923EF9C3529E925F"/>
          </w:pPr>
          <w:r>
            <w:rPr>
              <w:rStyle w:val="Zstupntext"/>
              <w:highlight w:val="yellow"/>
            </w:rPr>
            <w:t>zvolte položku</w:t>
          </w:r>
        </w:p>
      </w:docPartBody>
    </w:docPart>
    <w:docPart>
      <w:docPartPr>
        <w:name w:val="BC8A7A960FEB46A8B6B577FEE0C61329"/>
        <w:category>
          <w:name w:val="Obecné"/>
          <w:gallery w:val="placeholder"/>
        </w:category>
        <w:types>
          <w:type w:val="bbPlcHdr"/>
        </w:types>
        <w:behaviors>
          <w:behavior w:val="content"/>
        </w:behaviors>
        <w:guid w:val="{374D5773-6520-4DEE-BE10-F51BCDDD423F}"/>
      </w:docPartPr>
      <w:docPartBody>
        <w:p>
          <w:pPr>
            <w:pStyle w:val="BC8A7A960FEB46A8B6B577FEE0C61329"/>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pPr>
            <w:pStyle w:val="A2E93F46EFBB450EAAA74C9B0F3D751D"/>
          </w:pPr>
          <w:r>
            <w:rPr>
              <w:rStyle w:val="Zstupntext"/>
              <w:highlight w:val="yellow"/>
            </w:rPr>
            <w:t>zvolte položku</w:t>
          </w:r>
        </w:p>
      </w:docPartBody>
    </w:docPart>
    <w:docPart>
      <w:docPartPr>
        <w:name w:val="64BB4C99D2CB4EAFB21B570C0E4D7A3C"/>
        <w:category>
          <w:name w:val="Obecné"/>
          <w:gallery w:val="placeholder"/>
        </w:category>
        <w:types>
          <w:type w:val="bbPlcHdr"/>
        </w:types>
        <w:behaviors>
          <w:behavior w:val="content"/>
        </w:behaviors>
        <w:guid w:val="{82856A50-B5EE-4E70-BC70-AA5F2472198D}"/>
      </w:docPartPr>
      <w:docPartBody>
        <w:p>
          <w:pPr>
            <w:pStyle w:val="64BB4C99D2CB4EAFB21B570C0E4D7A3C"/>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pPr>
            <w:pStyle w:val="D74AD705E0EE4E1BA1042E55ED6D1D73"/>
          </w:pPr>
          <w:r>
            <w:rPr>
              <w:rStyle w:val="Zstupntext"/>
              <w:highlight w:val="yellow"/>
            </w:rPr>
            <w:t>zvolte položku</w:t>
          </w:r>
        </w:p>
      </w:docPartBody>
    </w:docPart>
    <w:docPart>
      <w:docPartPr>
        <w:name w:val="0CCCE66C511D411B996B97102AB132FE"/>
        <w:category>
          <w:name w:val="Obecné"/>
          <w:gallery w:val="placeholder"/>
        </w:category>
        <w:types>
          <w:type w:val="bbPlcHdr"/>
        </w:types>
        <w:behaviors>
          <w:behavior w:val="content"/>
        </w:behaviors>
        <w:guid w:val="{63610D76-B203-4804-B31E-E3FCD149316B}"/>
      </w:docPartPr>
      <w:docPartBody>
        <w:p>
          <w:pPr>
            <w:pStyle w:val="0CCCE66C511D411B996B97102AB132FE"/>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67848372FC9B43CD9ABF65B13CED4E87"/>
        <w:category>
          <w:name w:val="Obecné"/>
          <w:gallery w:val="placeholder"/>
        </w:category>
        <w:types>
          <w:type w:val="bbPlcHdr"/>
        </w:types>
        <w:behaviors>
          <w:behavior w:val="content"/>
        </w:behaviors>
        <w:guid w:val="{233343FE-6C83-461E-A872-D04CA02575EC}"/>
      </w:docPartPr>
      <w:docPartBody>
        <w:p>
          <w:pPr>
            <w:pStyle w:val="67848372FC9B43CD9ABF65B13CED4E87"/>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CC6531F55CC64F349DD508B10A43EEF7"/>
        <w:category>
          <w:name w:val="Obecné"/>
          <w:gallery w:val="placeholder"/>
        </w:category>
        <w:types>
          <w:type w:val="bbPlcHdr"/>
        </w:types>
        <w:behaviors>
          <w:behavior w:val="content"/>
        </w:behaviors>
        <w:guid w:val="{049E10CF-7AF7-41A4-9AA3-2276BEEA28A0}"/>
      </w:docPartPr>
      <w:docPartBody>
        <w:p>
          <w:pPr>
            <w:pStyle w:val="CC6531F55CC64F349DD508B10A43EEF7"/>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7C99E8CD363941C98F67E7EC22976F74">
    <w:name w:val="7C99E8CD363941C98F67E7EC22976F74"/>
  </w:style>
  <w:style w:type="paragraph" w:customStyle="1" w:styleId="D3E111079DD24774923EF9C3529E925F">
    <w:name w:val="D3E111079DD24774923EF9C3529E925F"/>
  </w:style>
  <w:style w:type="paragraph" w:customStyle="1" w:styleId="BC8A7A960FEB46A8B6B577FEE0C61329">
    <w:name w:val="BC8A7A960FEB46A8B6B577FEE0C61329"/>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64BB4C99D2CB4EAFB21B570C0E4D7A3C">
    <w:name w:val="64BB4C99D2CB4EAFB21B570C0E4D7A3C"/>
  </w:style>
  <w:style w:type="paragraph" w:customStyle="1" w:styleId="D74AD705E0EE4E1BA1042E55ED6D1D73">
    <w:name w:val="D74AD705E0EE4E1BA1042E55ED6D1D73"/>
  </w:style>
  <w:style w:type="paragraph" w:customStyle="1" w:styleId="0CCCE66C511D411B996B97102AB132FE">
    <w:name w:val="0CCCE66C511D411B996B97102AB132FE"/>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67848372FC9B43CD9ABF65B13CED4E87">
    <w:name w:val="67848372FC9B43CD9ABF65B13CED4E87"/>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CC6531F55CC64F349DD508B10A43EEF7">
    <w:name w:val="CC6531F55CC64F349DD508B10A43E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30</Pages>
  <Words>12283</Words>
  <Characters>72476</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84590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17</cp:revision>
  <cp:lastPrinted>2025-07-15T11:35:00Z</cp:lastPrinted>
  <dcterms:created xsi:type="dcterms:W3CDTF">2025-07-15T09:21:00Z</dcterms:created>
  <dcterms:modified xsi:type="dcterms:W3CDTF">2025-10-16T05:55:00Z</dcterms:modified>
</cp:coreProperties>
</file>