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Theme="minorHAnsi" w:hAnsiTheme="minorHAnsi" w:cstheme="minorHAnsi"/>
          <w:color w:val="FF0000"/>
          <w:sz w:val="22"/>
          <w:szCs w:val="22"/>
        </w:rPr>
      </w:pPr>
      <w:r>
        <w:rPr>
          <w:rFonts w:asciiTheme="minorHAnsi" w:hAnsiTheme="minorHAnsi" w:cstheme="minorHAnsi"/>
          <w:color w:val="FF0000"/>
          <w:sz w:val="22"/>
          <w:szCs w:val="22"/>
        </w:rPr>
        <w:t>Příloha č. 2B Výzvy k podání nabídek</w:t>
      </w:r>
    </w:p>
    <w:p>
      <w:pPr>
        <w:spacing w:before="240" w:after="240"/>
        <w:contextualSpacing/>
        <w:jc w:val="center"/>
        <w:rPr>
          <w:rFonts w:asciiTheme="minorHAnsi" w:hAnsiTheme="minorHAnsi" w:cstheme="minorHAnsi"/>
          <w:color w:val="FF0000"/>
          <w:sz w:val="22"/>
          <w:szCs w:val="22"/>
        </w:rPr>
      </w:pPr>
    </w:p>
    <w:p>
      <w:pPr>
        <w:spacing w:before="240" w:after="240"/>
        <w:contextualSpacing/>
        <w:jc w:val="center"/>
        <w:rPr>
          <w:rFonts w:ascii="Calibri" w:hAnsi="Calibri"/>
          <w:b/>
          <w:color w:val="FF0000"/>
          <w:sz w:val="32"/>
          <w:szCs w:val="32"/>
        </w:rPr>
      </w:pPr>
      <w:r>
        <w:rPr>
          <w:rFonts w:ascii="Calibri" w:hAnsi="Calibri"/>
          <w:b/>
          <w:color w:val="FF0000"/>
          <w:sz w:val="32"/>
          <w:szCs w:val="32"/>
        </w:rPr>
        <w:fldChar w:fldCharType="begin"/>
      </w:r>
      <w:r>
        <w:rPr>
          <w:rFonts w:ascii="Calibri" w:hAnsi="Calibri"/>
          <w:b/>
          <w:color w:val="FF0000"/>
          <w:sz w:val="32"/>
          <w:szCs w:val="32"/>
        </w:rPr>
        <w:instrText xml:space="preserve"> FILLIN  "Vložte hodnotu"  \* MERGEFORMAT </w:instrText>
      </w:r>
      <w:r>
        <w:rPr>
          <w:rFonts w:ascii="Calibri" w:hAnsi="Calibri"/>
          <w:b/>
          <w:color w:val="FF0000"/>
          <w:sz w:val="32"/>
          <w:szCs w:val="32"/>
        </w:rPr>
        <w:fldChar w:fldCharType="end"/>
      </w:r>
      <w:r>
        <w:rPr>
          <w:rFonts w:ascii="Calibri" w:hAnsi="Calibri"/>
          <w:b/>
          <w:color w:val="FF0000"/>
          <w:sz w:val="32"/>
          <w:szCs w:val="32"/>
        </w:rPr>
        <w:t>Návrh smlouvy o zajištění následné péče o zeleň</w:t>
      </w:r>
    </w:p>
    <w:p>
      <w:pPr>
        <w:spacing w:before="240" w:after="240"/>
        <w:contextualSpacing/>
        <w:jc w:val="center"/>
        <w:rPr>
          <w:rFonts w:asciiTheme="minorHAnsi" w:hAnsiTheme="minorHAnsi" w:cstheme="minorHAnsi"/>
          <w:b/>
          <w:color w:val="FF0000"/>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color w:val="FF0000"/>
                <w:sz w:val="28"/>
                <w:szCs w:val="28"/>
              </w:rPr>
            </w:pPr>
            <w:r>
              <w:rPr>
                <w:rFonts w:asciiTheme="minorHAnsi" w:hAnsiTheme="minorHAnsi" w:cstheme="minorHAnsi"/>
                <w:b/>
                <w:color w:val="FF0000"/>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color w:val="FF0000"/>
                <w:sz w:val="22"/>
                <w:szCs w:val="22"/>
              </w:rPr>
            </w:pPr>
            <w:r>
              <w:rPr>
                <w:rFonts w:asciiTheme="minorHAnsi" w:hAnsiTheme="minorHAnsi" w:cstheme="minorHAnsi"/>
                <w:b/>
                <w:color w:val="FF0000"/>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color w:val="FF0000"/>
                <w:sz w:val="22"/>
                <w:szCs w:val="22"/>
              </w:rPr>
            </w:pPr>
            <w:r>
              <w:rPr>
                <w:rFonts w:asciiTheme="minorHAnsi" w:hAnsiTheme="minorHAnsi"/>
                <w:b/>
                <w:color w:val="FF0000"/>
                <w:lang w:bidi="en-US"/>
              </w:rPr>
              <w:t>Cyklostezka ul. Jihlavská</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r>
              <w:rPr>
                <w:rFonts w:asciiTheme="minorHAnsi" w:hAnsiTheme="minorHAnsi" w:cstheme="minorHAnsi"/>
                <w:color w:val="FF0000"/>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sdt>
              <w:sdtPr>
                <w:rPr>
                  <w:rFonts w:asciiTheme="minorHAnsi" w:hAnsiTheme="minorHAnsi" w:cstheme="minorHAnsi"/>
                  <w:color w:val="FF0000"/>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color w:val="FF0000"/>
                    <w:sz w:val="22"/>
                    <w:szCs w:val="22"/>
                  </w:rPr>
                  <w:t>Zjednodušené podlimitní řízení</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FF0000"/>
                <w:sz w:val="22"/>
                <w:szCs w:val="22"/>
              </w:rPr>
            </w:pPr>
            <w:hyperlink r:id="rId8" w:history="1">
              <w:r>
                <w:rPr>
                  <w:rStyle w:val="Hypertextovodkaz"/>
                  <w:rFonts w:asciiTheme="minorHAnsi" w:hAnsiTheme="minorHAnsi" w:cstheme="minorHAnsi"/>
                  <w:color w:val="FF0000"/>
                  <w:sz w:val="22"/>
                  <w:szCs w:val="22"/>
                </w:rPr>
                <w:t>https://zakazky.zdarns.cz/vz00001201</w:t>
              </w:r>
            </w:hyperlink>
            <w:r>
              <w:rPr>
                <w:rFonts w:asciiTheme="minorHAnsi" w:eastAsia="Calibri" w:hAnsiTheme="minorHAnsi" w:cstheme="minorHAnsi"/>
                <w:color w:val="FF0000"/>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color w:val="FF0000"/>
                <w:sz w:val="28"/>
                <w:szCs w:val="28"/>
              </w:rPr>
            </w:pPr>
          </w:p>
          <w:p>
            <w:pPr>
              <w:widowControl w:val="0"/>
              <w:spacing w:before="60" w:after="60"/>
              <w:rPr>
                <w:rFonts w:asciiTheme="minorHAnsi" w:eastAsia="Calibri" w:hAnsiTheme="minorHAnsi" w:cstheme="minorHAnsi"/>
                <w:color w:val="FF0000"/>
                <w:sz w:val="28"/>
                <w:szCs w:val="28"/>
              </w:rPr>
            </w:pPr>
            <w:r>
              <w:rPr>
                <w:rFonts w:asciiTheme="minorHAnsi" w:eastAsia="Calibri" w:hAnsiTheme="minorHAnsi" w:cstheme="minorHAnsi"/>
                <w:b/>
                <w:color w:val="FF0000"/>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color w:val="FF0000"/>
                <w:sz w:val="22"/>
                <w:szCs w:val="22"/>
              </w:rPr>
            </w:pPr>
            <w:r>
              <w:rPr>
                <w:rFonts w:asciiTheme="minorHAnsi" w:hAnsiTheme="minorHAnsi" w:cstheme="minorHAnsi"/>
                <w:b/>
                <w:color w:val="FF0000"/>
                <w:sz w:val="22"/>
                <w:szCs w:val="22"/>
              </w:rPr>
              <w:t>Název:</w:t>
            </w:r>
          </w:p>
        </w:tc>
        <w:tc>
          <w:tcPr>
            <w:tcW w:w="5032" w:type="dxa"/>
            <w:shd w:val="clear" w:color="auto" w:fill="auto"/>
          </w:tcPr>
          <w:p>
            <w:pPr>
              <w:widowControl w:val="0"/>
              <w:spacing w:before="60" w:after="60"/>
              <w:rPr>
                <w:rFonts w:asciiTheme="minorHAnsi" w:hAnsiTheme="minorHAnsi" w:cstheme="minorHAnsi"/>
                <w:b/>
                <w:color w:val="FF0000"/>
                <w:sz w:val="22"/>
                <w:szCs w:val="22"/>
              </w:rPr>
            </w:pPr>
            <w:r>
              <w:rPr>
                <w:rFonts w:asciiTheme="minorHAnsi" w:hAnsiTheme="minorHAnsi" w:cstheme="minorHAnsi"/>
                <w:b/>
                <w:color w:val="FF0000"/>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Sídlo:</w:t>
            </w:r>
          </w:p>
        </w:tc>
        <w:tc>
          <w:tcPr>
            <w:tcW w:w="5032" w:type="dxa"/>
            <w:shd w:val="clear" w:color="auto" w:fill="auto"/>
          </w:tcPr>
          <w:p>
            <w:pPr>
              <w:widowControl w:val="0"/>
              <w:spacing w:before="60" w:after="60"/>
              <w:rPr>
                <w:rFonts w:asciiTheme="minorHAnsi" w:hAnsiTheme="minorHAnsi" w:cstheme="minorHAnsi"/>
                <w:color w:val="FF0000"/>
                <w:sz w:val="22"/>
                <w:szCs w:val="22"/>
              </w:rPr>
            </w:pPr>
            <w:r>
              <w:rPr>
                <w:rFonts w:asciiTheme="minorHAnsi" w:hAnsiTheme="minorHAnsi" w:cstheme="minorHAnsi"/>
                <w:color w:val="FF0000"/>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IČO:</w:t>
            </w:r>
          </w:p>
        </w:tc>
        <w:tc>
          <w:tcPr>
            <w:tcW w:w="5032" w:type="dxa"/>
            <w:shd w:val="clear" w:color="auto" w:fill="auto"/>
          </w:tcPr>
          <w:p>
            <w:pPr>
              <w:widowControl w:val="0"/>
              <w:spacing w:before="60" w:after="60"/>
              <w:rPr>
                <w:rFonts w:asciiTheme="minorHAnsi" w:eastAsia="Calibri" w:hAnsiTheme="minorHAnsi" w:cstheme="minorHAnsi"/>
                <w:color w:val="FF0000"/>
                <w:sz w:val="22"/>
                <w:szCs w:val="22"/>
              </w:rPr>
            </w:pPr>
            <w:r>
              <w:rPr>
                <w:rFonts w:asciiTheme="minorHAnsi" w:hAnsiTheme="minorHAnsi" w:cstheme="minorHAnsi"/>
                <w:color w:val="FF0000"/>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color w:val="FF0000"/>
                <w:sz w:val="22"/>
                <w:szCs w:val="22"/>
              </w:rPr>
            </w:pPr>
            <w:r>
              <w:rPr>
                <w:rFonts w:asciiTheme="minorHAnsi" w:hAnsiTheme="minorHAnsi" w:cstheme="minorHAnsi"/>
                <w:color w:val="FF0000"/>
                <w:sz w:val="22"/>
                <w:szCs w:val="22"/>
              </w:rPr>
              <w:t>Zastoupen:</w:t>
            </w:r>
          </w:p>
        </w:tc>
        <w:tc>
          <w:tcPr>
            <w:tcW w:w="5032" w:type="dxa"/>
            <w:shd w:val="clear" w:color="auto" w:fill="auto"/>
          </w:tcPr>
          <w:p>
            <w:pPr>
              <w:widowControl w:val="0"/>
              <w:spacing w:before="60" w:after="60"/>
              <w:rPr>
                <w:rFonts w:asciiTheme="minorHAnsi" w:hAnsiTheme="minorHAnsi" w:cstheme="minorHAnsi"/>
                <w:color w:val="FF0000"/>
                <w:sz w:val="22"/>
                <w:szCs w:val="22"/>
              </w:rPr>
            </w:pPr>
            <w:r>
              <w:rPr>
                <w:rFonts w:asciiTheme="minorHAnsi" w:hAnsiTheme="minorHAnsi" w:cstheme="minorHAnsi"/>
                <w:color w:val="FF0000"/>
                <w:sz w:val="22"/>
                <w:szCs w:val="22"/>
                <w:lang w:bidi="en-US"/>
              </w:rPr>
              <w:t>Ing. Martin Mrkos, ACCA, starosta</w:t>
            </w:r>
          </w:p>
        </w:tc>
      </w:tr>
    </w:tbl>
    <w:p>
      <w:pPr>
        <w:spacing w:before="240" w:after="240"/>
        <w:contextualSpacing/>
        <w:jc w:val="center"/>
        <w:rPr>
          <w:rFonts w:ascii="Calibri" w:hAnsi="Calibri"/>
          <w:b/>
          <w:color w:val="FF0000"/>
          <w:sz w:val="28"/>
          <w:szCs w:val="22"/>
        </w:rPr>
      </w:pPr>
    </w:p>
    <w:p>
      <w:pPr>
        <w:spacing w:before="240" w:after="240"/>
        <w:contextualSpacing/>
        <w:jc w:val="center"/>
        <w:rPr>
          <w:rFonts w:ascii="Calibri" w:hAnsi="Calibri"/>
          <w:b/>
          <w:color w:val="FF0000"/>
          <w:sz w:val="28"/>
          <w:szCs w:val="22"/>
        </w:rPr>
      </w:pPr>
    </w:p>
    <w:p>
      <w:pPr>
        <w:spacing w:before="240" w:after="240"/>
        <w:contextualSpacing/>
        <w:jc w:val="center"/>
        <w:rPr>
          <w:rFonts w:asciiTheme="minorHAnsi" w:hAnsiTheme="minorHAnsi" w:cstheme="minorHAnsi"/>
          <w:b/>
          <w:color w:val="FF0000"/>
          <w:sz w:val="22"/>
          <w:szCs w:val="22"/>
        </w:rPr>
      </w:pP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Obchodní podmínky, které jsou zadavatelem předkládány ve formě tohoto návrhu smlouvy o zajištění následné péče o zeleň jsou pro dodavatele závazné a musí být v plném rozsahu respektovány.</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vyžaduje</w:t>
          </w:r>
        </w:sdtContent>
      </w:sdt>
      <w:r>
        <w:rPr>
          <w:rFonts w:asciiTheme="minorHAnsi" w:eastAsia="Calibri" w:hAnsiTheme="minorHAnsi" w:cstheme="minorHAnsi"/>
          <w:bCs/>
          <w:color w:val="FF0000"/>
          <w:sz w:val="22"/>
          <w:szCs w:val="22"/>
        </w:rPr>
        <w:t xml:space="preserve">, aby byl </w:t>
      </w:r>
      <w:r>
        <w:rPr>
          <w:rFonts w:asciiTheme="minorHAnsi" w:eastAsia="Calibri" w:hAnsiTheme="minorHAnsi" w:cstheme="minorHAnsi"/>
          <w:bCs/>
          <w:color w:val="FF0000"/>
          <w:sz w:val="22"/>
          <w:szCs w:val="22"/>
          <w:lang w:eastAsia="en-US"/>
        </w:rPr>
        <w:t xml:space="preserve">návrh smlouvy předložen </w:t>
      </w:r>
      <w:r>
        <w:rPr>
          <w:rFonts w:asciiTheme="minorHAnsi" w:eastAsia="Calibri" w:hAnsiTheme="minorHAnsi" w:cstheme="minorHAnsi"/>
          <w:color w:val="FF0000"/>
          <w:sz w:val="22"/>
          <w:szCs w:val="22"/>
          <w:lang w:eastAsia="en-US"/>
        </w:rPr>
        <w:t>v nabídce.</w:t>
      </w:r>
      <w:r>
        <w:rPr>
          <w:rFonts w:asciiTheme="minorHAnsi" w:eastAsia="Calibri" w:hAnsiTheme="minorHAnsi" w:cstheme="minorHAnsi"/>
          <w:color w:val="FF0000"/>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cyan"/>
          <w:lang w:bidi="en-US"/>
        </w:rPr>
        <w:fldChar w:fldCharType="begin"/>
      </w:r>
      <w:r>
        <w:rPr>
          <w:rFonts w:ascii="Calibri" w:hAnsi="Calibri" w:cs="Calibri"/>
          <w:bCs/>
          <w:i/>
          <w:iCs/>
          <w:highlight w:val="cyan"/>
          <w:lang w:bidi="en-US"/>
        </w:rPr>
        <w:instrText xml:space="preserve"> MACROBUTTON  AcceptAllConflictsInDoc "[bude doplněno objednatelem]" </w:instrText>
      </w:r>
      <w:r>
        <w:rPr>
          <w:rFonts w:ascii="Calibri" w:hAnsi="Calibri" w:cs="Calibri"/>
          <w:bCs/>
          <w:i/>
          <w:iCs/>
          <w:highlight w:val="cyan"/>
          <w:lang w:bidi="en-US"/>
        </w:rPr>
        <w:fldChar w:fldCharType="end"/>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ZAJIŠTĚNÍ NÁSLEDNÉ PÉČE O ZELEŇ</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 Mrkos, ACCA, starosta</w:t>
      </w:r>
    </w:p>
    <w:p>
      <w:pPr>
        <w:spacing w:before="120"/>
        <w:ind w:left="4242" w:hanging="3675"/>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Bc. Jiří Hemza, DiS.</w:t>
      </w:r>
      <w:r>
        <w:rPr>
          <w:rFonts w:ascii="Calibri" w:hAnsi="Calibri"/>
          <w:color w:val="000000"/>
          <w:sz w:val="22"/>
          <w:szCs w:val="22"/>
        </w:rPr>
        <w:t>, referent odboru strategického rozvoje a investic</w:t>
      </w:r>
    </w:p>
    <w:p>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+420 777 454 791</w:t>
      </w:r>
      <w:r>
        <w:rPr>
          <w:rFonts w:asciiTheme="minorHAnsi" w:hAnsiTheme="minorHAnsi" w:cstheme="minorHAnsi"/>
          <w:sz w:val="22"/>
          <w:szCs w:val="22"/>
          <w:lang w:bidi="en-US"/>
        </w:rPr>
        <w:t xml:space="preserve">, </w:t>
      </w:r>
      <w:r>
        <w:rPr>
          <w:rFonts w:asciiTheme="minorHAnsi" w:hAnsiTheme="minorHAnsi" w:cstheme="minorHAnsi"/>
          <w:sz w:val="22"/>
          <w:szCs w:val="22"/>
          <w:lang w:bidi="en-US"/>
        </w:rPr>
        <w:t>jiri.hemza</w:t>
      </w:r>
      <w:r>
        <w:rPr>
          <w:rFonts w:asciiTheme="minorHAnsi" w:hAnsiTheme="minorHAnsi" w:cstheme="minorHAnsi"/>
          <w:sz w:val="22"/>
          <w:szCs w:val="22"/>
          <w:lang w:bidi="en-US"/>
        </w:rPr>
        <w:t>@zdarns.cz</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Cyklostezka ul. Jihlavská</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w:t>
      </w:r>
      <w:r>
        <w:rPr>
          <w:rFonts w:asciiTheme="minorHAnsi" w:hAnsiTheme="minorHAnsi" w:cstheme="minorHAnsi"/>
          <w:sz w:val="22"/>
          <w:szCs w:val="22"/>
        </w:rPr>
        <w:t>uzavřeli dne</w:t>
      </w:r>
      <w:r>
        <w:rPr>
          <w:rFonts w:asciiTheme="minorHAnsi" w:hAnsiTheme="minorHAnsi" w:cstheme="minorHAnsi"/>
          <w:sz w:val="22"/>
          <w:szCs w:val="22"/>
          <w:highlight w:val="cyan"/>
        </w:rPr>
        <w:t xml:space="preserve"> </w:t>
      </w:r>
      <w:r>
        <w:rPr>
          <w:rFonts w:asciiTheme="minorHAnsi" w:hAnsiTheme="minorHAnsi" w:cstheme="minorHAnsi"/>
          <w:i/>
          <w:iCs/>
          <w:sz w:val="22"/>
          <w:szCs w:val="22"/>
          <w:highlight w:val="cyan"/>
        </w:rPr>
        <w:t>bude doplněno</w:t>
      </w:r>
      <w:r>
        <w:rPr>
          <w:rFonts w:asciiTheme="minorHAnsi" w:hAnsiTheme="minorHAnsi" w:cstheme="minorHAnsi"/>
          <w:sz w:val="22"/>
          <w:szCs w:val="22"/>
        </w:rPr>
        <w:t xml:space="preserve"> smlouvu o dílo č</w:t>
      </w:r>
      <w:r>
        <w:rPr>
          <w:rFonts w:asciiTheme="minorHAnsi" w:hAnsiTheme="minorHAnsi" w:cstheme="minorHAnsi"/>
          <w:sz w:val="22"/>
          <w:szCs w:val="22"/>
        </w:rPr>
        <w:t xml:space="preserve">. </w:t>
      </w:r>
      <w:r>
        <w:rPr>
          <w:rFonts w:asciiTheme="minorHAnsi" w:hAnsiTheme="minorHAnsi" w:cstheme="minorHAnsi"/>
          <w:i/>
          <w:iCs/>
          <w:sz w:val="22"/>
          <w:szCs w:val="22"/>
          <w:highlight w:val="cyan"/>
        </w:rPr>
        <w:t>bude doplněno</w:t>
      </w:r>
      <w:r>
        <w:rPr>
          <w:rFonts w:asciiTheme="minorHAnsi" w:hAnsiTheme="minorHAnsi" w:cstheme="minorHAnsi"/>
          <w:sz w:val="22"/>
          <w:szCs w:val="22"/>
        </w:rPr>
        <w:t xml:space="preserve">, na </w:t>
      </w:r>
      <w:proofErr w:type="gramStart"/>
      <w:r>
        <w:rPr>
          <w:rFonts w:asciiTheme="minorHAnsi" w:hAnsiTheme="minorHAnsi" w:cstheme="minorHAnsi"/>
          <w:sz w:val="22"/>
          <w:szCs w:val="22"/>
        </w:rPr>
        <w:t>základě</w:t>
      </w:r>
      <w:proofErr w:type="gramEnd"/>
      <w:r>
        <w:rPr>
          <w:rFonts w:asciiTheme="minorHAnsi" w:hAnsiTheme="minorHAnsi" w:cstheme="minorHAnsi"/>
          <w:sz w:val="22"/>
          <w:szCs w:val="22"/>
        </w:rPr>
        <w:t xml:space="preserve"> níž se Zhotovitel </w:t>
      </w:r>
      <w:r>
        <w:rPr>
          <w:rFonts w:asciiTheme="minorHAnsi" w:hAnsiTheme="minorHAnsi" w:cstheme="minorHAnsi"/>
          <w:sz w:val="22"/>
          <w:szCs w:val="22"/>
        </w:rPr>
        <w:t>zavázal</w:t>
      </w:r>
      <w:r>
        <w:rPr>
          <w:rFonts w:asciiTheme="minorHAnsi" w:hAnsiTheme="minorHAnsi" w:cstheme="minorHAnsi"/>
          <w:sz w:val="22"/>
          <w:szCs w:val="22"/>
        </w:rPr>
        <w:t xml:space="preserve"> zajistit výsadbu zeleně a vegetační úpravy</w:t>
      </w:r>
      <w:r>
        <w:rPr>
          <w:rFonts w:asciiTheme="minorHAnsi" w:hAnsiTheme="minorHAnsi" w:cstheme="minorHAnsi"/>
          <w:sz w:val="22"/>
          <w:szCs w:val="22"/>
        </w:rPr>
        <w:t xml:space="preserve">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b/>
          <w:i/>
          <w:sz w:val="22"/>
          <w:szCs w:val="22"/>
        </w:rPr>
        <w:t xml:space="preserve"> o dílo</w:t>
      </w:r>
      <w:r>
        <w:rPr>
          <w:rFonts w:asciiTheme="minorHAnsi" w:hAnsiTheme="minorHAnsi" w:cstheme="minorHAnsi"/>
          <w:i/>
          <w:sz w:val="22"/>
          <w:szCs w:val="22"/>
        </w:rPr>
        <w:t>“)</w:t>
      </w:r>
      <w:r>
        <w:rPr>
          <w:rFonts w:asciiTheme="minorHAnsi" w:hAnsiTheme="minorHAnsi" w:cstheme="minorHAnsi"/>
          <w:sz w:val="22"/>
          <w:szCs w:val="22"/>
        </w:rPr>
        <w:t xml:space="preserve">. Zhotovitel a Objednatel </w:t>
      </w:r>
      <w:r>
        <w:rPr>
          <w:rFonts w:asciiTheme="minorHAnsi" w:hAnsiTheme="minorHAnsi" w:cstheme="minorHAnsi"/>
          <w:sz w:val="22"/>
          <w:szCs w:val="22"/>
        </w:rPr>
        <w:t xml:space="preserve">uzavírají níže uvedeného dne, měsíce a roku tuto smlouvu o zajištění následné péče o zeleň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w:t>
      </w:r>
      <w:r>
        <w:rPr>
          <w:rFonts w:asciiTheme="minorHAnsi" w:hAnsiTheme="minorHAnsi" w:cstheme="minorHAnsi"/>
          <w:bCs/>
          <w:sz w:val="22"/>
          <w:szCs w:val="22"/>
          <w:lang w:bidi="en-US"/>
        </w:rPr>
        <w:t xml:space="preserve"> zajištění následné péče o zeleň.</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Předmětem Díla je zajištění následné péče o zeleň</w:t>
      </w:r>
      <w:r>
        <w:rPr>
          <w:rFonts w:asciiTheme="minorHAnsi" w:hAnsiTheme="minorHAnsi" w:cstheme="minorHAnsi"/>
          <w:bCs/>
          <w:sz w:val="22"/>
          <w:szCs w:val="22"/>
          <w:lang w:bidi="en-US"/>
        </w:rPr>
        <w:t xml:space="preserve">, a to dle projektové dokumentace: </w:t>
      </w:r>
      <w:r>
        <w:rPr>
          <w:rFonts w:asciiTheme="minorHAnsi" w:hAnsiTheme="minorHAnsi" w:cstheme="minorHAnsi"/>
          <w:sz w:val="22"/>
          <w:szCs w:val="22"/>
        </w:rPr>
        <w:t>Cyklostezka Jihlavská, Žďár nad Sázavou, zpracované PETRPROJEKT s.r.o., se sídlem Líšeňská 4504/50, Židenice, 636 00 Brno, IČO: 08001839, která je přílohou č. 1 Smlouvy (dále jen „</w:t>
      </w:r>
      <w:r>
        <w:rPr>
          <w:rFonts w:asciiTheme="minorHAnsi" w:hAnsiTheme="minorHAnsi" w:cstheme="minorHAnsi"/>
          <w:b/>
          <w:bCs/>
          <w:i/>
          <w:iCs/>
          <w:sz w:val="22"/>
          <w:szCs w:val="22"/>
        </w:rPr>
        <w:t>Projektová dokumentace</w:t>
      </w:r>
      <w:r>
        <w:rPr>
          <w:rFonts w:asciiTheme="minorHAnsi" w:hAnsiTheme="minorHAnsi" w:cstheme="minorHAnsi"/>
          <w:sz w:val="22"/>
          <w:szCs w:val="22"/>
        </w:rPr>
        <w:t>“) a dále dle</w:t>
      </w:r>
      <w:r>
        <w:rPr>
          <w:rFonts w:ascii="Calibri" w:hAnsi="Calibri"/>
          <w:sz w:val="22"/>
          <w:szCs w:val="22"/>
        </w:rPr>
        <w:t xml:space="preserve"> </w:t>
      </w:r>
      <w:r>
        <w:rPr>
          <w:rFonts w:asciiTheme="minorHAnsi" w:hAnsiTheme="minorHAnsi" w:cstheme="minorHAnsi"/>
          <w:sz w:val="22"/>
          <w:szCs w:val="22"/>
        </w:rPr>
        <w:t>podmínek stanovených v orgány veřejné správy vydaných vyjádřeních, stanoviscích a rozhodnutích, a dále dle podmínek stanovených Smlouvou, a to včetně všech souvisejících prací, dodávek a služeb.</w:t>
      </w:r>
      <w:bookmarkEnd w:id="0"/>
    </w:p>
    <w:p>
      <w:pPr>
        <w:pStyle w:val="Odstavecseseznamem"/>
        <w:rPr>
          <w:rFonts w:asciiTheme="minorHAnsi" w:hAnsiTheme="minorHAnsi" w:cstheme="minorHAnsi"/>
          <w:sz w:val="22"/>
          <w:szCs w:val="22"/>
        </w:rPr>
      </w:pPr>
    </w:p>
    <w:p>
      <w:pPr>
        <w:pStyle w:val="Odstavecseseznamem"/>
        <w:numPr>
          <w:ilvl w:val="0"/>
          <w:numId w:val="3"/>
        </w:numPr>
        <w:jc w:val="both"/>
        <w:rPr>
          <w:rFonts w:ascii="Calibri" w:hAnsi="Calibri"/>
          <w:sz w:val="22"/>
          <w:szCs w:val="22"/>
        </w:rPr>
      </w:pPr>
      <w:r>
        <w:rPr>
          <w:rFonts w:asciiTheme="minorHAnsi" w:hAnsiTheme="minorHAnsi" w:cstheme="minorHAnsi"/>
          <w:sz w:val="22"/>
          <w:szCs w:val="22"/>
        </w:rPr>
        <w:t>Předmětem Díla je následná péče o vysazené a stávající dřeviny dle Projektové dokumentace v délce 60 měsíců. Pro účely předmětné Smlouvy je za následnou péči považováno: péče o veškeré vysazené i stávající dřeviny. U nově vysázených dřevin se bude jednat především o výchovný řez, vyvětvení na podchozí a podjezdnou výšku a zdravotní řez, který může být realizován pouze jako bezpečnostní. O veškeré mladé výsadby (stromy i keře) by mělo být odpovídajícím způsobem pečováno, tím je myšlena běžná údržba jako je zálivka, odplevelování výsadbové mísy apod.</w:t>
      </w:r>
    </w:p>
    <w:p>
      <w:pPr>
        <w:pStyle w:val="Odstavecseseznamem"/>
        <w:ind w:left="567"/>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Theme="minorHAnsi" w:hAnsiTheme="minorHAnsi" w:cstheme="minorHAnsi"/>
          <w:sz w:val="22"/>
          <w:szCs w:val="22"/>
        </w:rPr>
        <w:t>Intenzitu a druh prováděné péče určí sám Zhotovitel dle aktuálních klimatických a agrotechnických podmínek a v souladu s Projektovou dokumentací.</w:t>
      </w:r>
    </w:p>
    <w:p>
      <w:pPr>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Theme="minorHAnsi" w:hAnsiTheme="minorHAnsi" w:cstheme="minorHAnsi"/>
          <w:sz w:val="22"/>
          <w:szCs w:val="22"/>
        </w:rPr>
        <w:t>Každoročně po provedení následné péče o zeleň provede Objednatel kontrolu zeleně. V případě, že Objednatel shledá vadu na zeleni, zajistí Zhotovitel všechny dodávky a práce na své náklady k dosažení požadované kvality zeleně odpovídající požadavkům Projektové dokumentace.</w:t>
      </w:r>
    </w:p>
    <w:p>
      <w:pPr>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Theme="minorHAnsi" w:hAnsiTheme="minorHAnsi" w:cstheme="minorHAnsi"/>
          <w:sz w:val="22"/>
          <w:szCs w:val="22"/>
        </w:rPr>
        <w:t>Zhotovitel je povinen po dobu provádění následné péče 1 x ročně Objednateli předat zprávu o provádění následné péče</w:t>
      </w:r>
      <w:r>
        <w:rPr>
          <w:rFonts w:asciiTheme="minorHAnsi" w:hAnsiTheme="minorHAnsi" w:cstheme="minorHAnsi"/>
          <w:sz w:val="22"/>
          <w:szCs w:val="22"/>
        </w:rPr>
        <w:t xml:space="preserve"> (dále jen „</w:t>
      </w:r>
      <w:r>
        <w:rPr>
          <w:rFonts w:asciiTheme="minorHAnsi" w:hAnsiTheme="minorHAnsi" w:cstheme="minorHAnsi"/>
          <w:b/>
          <w:bCs/>
          <w:sz w:val="22"/>
          <w:szCs w:val="22"/>
        </w:rPr>
        <w:t>Roční zpráva</w:t>
      </w:r>
      <w:r>
        <w:rPr>
          <w:rFonts w:asciiTheme="minorHAnsi" w:hAnsiTheme="minorHAnsi" w:cstheme="minorHAnsi"/>
          <w:sz w:val="22"/>
          <w:szCs w:val="22"/>
        </w:rPr>
        <w:t>“)</w:t>
      </w:r>
      <w:r>
        <w:rPr>
          <w:rFonts w:asciiTheme="minorHAnsi" w:hAnsiTheme="minorHAnsi" w:cstheme="minorHAnsi"/>
          <w:sz w:val="22"/>
          <w:szCs w:val="22"/>
        </w:rPr>
        <w:t xml:space="preserve">, a to nejpozději </w:t>
      </w:r>
      <w:r>
        <w:rPr>
          <w:rFonts w:asciiTheme="minorHAnsi" w:hAnsiTheme="minorHAnsi" w:cstheme="minorHAnsi"/>
          <w:sz w:val="22"/>
          <w:szCs w:val="22"/>
        </w:rPr>
        <w:t>k poslednímu dni kalendářního měsíce, po němž uplynula roční následná péče o zeleň.</w:t>
      </w:r>
    </w:p>
    <w:p>
      <w:pPr>
        <w:pStyle w:val="Odstavecseseznamem"/>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V Roční zprávě je Zhotovitel povinen vést evidenci provedených prací. Zápisy v Roční zprávě jsou vedeny formou denních záznamů. Musí zde být popsány veškeré okolnosti rozhodné pro plnění díla. V případě neočekávaných událostí nebo okolností majících zvláštní význam pro další postup, pořizuje Zhotovitel i příslušnou fotodokumentaci, která se stává součástí evidence.</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bookmarkStart w:id="1" w:name="_Ref212723207"/>
      <w:r>
        <w:rPr>
          <w:rFonts w:asciiTheme="minorHAnsi" w:hAnsiTheme="minorHAnsi" w:cstheme="minorHAnsi"/>
          <w:sz w:val="22"/>
          <w:szCs w:val="22"/>
        </w:rPr>
        <w:t xml:space="preserve">Pro případ, kdy v době běhu následné péče dojde k výměně sazenice </w:t>
      </w:r>
      <w:r>
        <w:rPr>
          <w:rFonts w:asciiTheme="minorHAnsi" w:hAnsiTheme="minorHAnsi" w:cstheme="minorHAnsi"/>
          <w:sz w:val="22"/>
          <w:szCs w:val="22"/>
        </w:rPr>
        <w:t>rostliny</w:t>
      </w:r>
      <w:r>
        <w:rPr>
          <w:rFonts w:asciiTheme="minorHAnsi" w:hAnsiTheme="minorHAnsi" w:cstheme="minorHAnsi"/>
          <w:sz w:val="22"/>
          <w:szCs w:val="22"/>
        </w:rPr>
        <w:t>, je Zhotovitel povinen zajistit následnou péči vyměněné sazenice v celé původní délce, tedy 60 měsíců, od dne protokolárního předání vyměněné sazenice.</w:t>
      </w:r>
      <w:bookmarkEnd w:id="1"/>
      <w:r>
        <w:rPr>
          <w:rFonts w:asciiTheme="minorHAnsi" w:hAnsiTheme="minorHAnsi" w:cstheme="minorHAnsi"/>
          <w:sz w:val="22"/>
          <w:szCs w:val="22"/>
        </w:rPr>
        <w:t xml:space="preserve"> Tuto skutečnost je Zhotovitel povinen uvést do Roční zprávy.</w:t>
      </w:r>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lastRenderedPageBreak/>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sz w:val="22"/>
          <w:szCs w:val="22"/>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vyžadované Smlouvou, právními předpisy nebo orgány veřejné správy.</w:t>
      </w: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2"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2"/>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lastRenderedPageBreak/>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jc w:val="both"/>
        <w:rPr>
          <w:rFonts w:ascii="Calibri" w:hAnsi="Calibri"/>
          <w:sz w:val="22"/>
          <w:szCs w:val="22"/>
        </w:rPr>
      </w:pPr>
    </w:p>
    <w:p>
      <w:pPr>
        <w:pStyle w:val="Nadpis1"/>
        <w:rPr>
          <w:szCs w:val="22"/>
        </w:rPr>
      </w:pPr>
      <w:bookmarkStart w:id="3"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4" w:name="_Ref394405799"/>
      <w:bookmarkStart w:id="5" w:name="_Ref433127238"/>
      <w:r>
        <w:rPr>
          <w:rFonts w:ascii="Calibri" w:hAnsi="Calibri"/>
          <w:sz w:val="22"/>
          <w:szCs w:val="22"/>
        </w:rPr>
        <w:t xml:space="preserve">Seznam poddodavatelů a jiných osob, prostřednictvím kterých prokázal Zhotovitel splnění kvalifikačních předpokladů, je uveden v příloze č. </w:t>
      </w:r>
      <w:r>
        <w:rPr>
          <w:rFonts w:ascii="Calibri" w:hAnsi="Calibri"/>
          <w:sz w:val="22"/>
          <w:szCs w:val="22"/>
        </w:rPr>
        <w:t xml:space="preserve">3 </w:t>
      </w:r>
      <w:r>
        <w:rPr>
          <w:rFonts w:ascii="Calibri" w:hAnsi="Calibri"/>
          <w:sz w:val="22"/>
          <w:szCs w:val="22"/>
        </w:rPr>
        <w:t>Smlouvy (dále společně jako „</w:t>
      </w:r>
      <w:r>
        <w:rPr>
          <w:rFonts w:ascii="Calibri" w:hAnsi="Calibri"/>
          <w:b/>
          <w:bCs/>
          <w:sz w:val="22"/>
          <w:szCs w:val="22"/>
        </w:rPr>
        <w:t>Poddodavatelé</w:t>
      </w:r>
      <w:r>
        <w:rPr>
          <w:rFonts w:ascii="Calibri" w:hAnsi="Calibri"/>
          <w:sz w:val="22"/>
          <w:szCs w:val="22"/>
        </w:rPr>
        <w:t>“). Zhotovitel není oprávněn k využití Poddodavatelů v části plnění, ve které si Objednatel vyhradil plnění prostřednictvím Zhotovitele bez možnosti využití Poddodavatele.</w:t>
      </w:r>
    </w:p>
    <w:p>
      <w:pPr>
        <w:suppressAutoHyphens/>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Objednatel je oprávněn požadovat a Zhotovitel je povinen zabezpečit změnu Poddodavatele, pokud je jeho činnost nedostatečná nebo neuspokojivá. 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kvalifikačními předpoklady. Nový Poddodavatel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_Ref140145767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20</w:t>
      </w:r>
      <w:r>
        <w:rPr>
          <w:rFonts w:ascii="Calibri" w:hAnsi="Calibri"/>
          <w:sz w:val="22"/>
          <w:szCs w:val="22"/>
        </w:rP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jc w:val="both"/>
        <w:rPr>
          <w:rFonts w:ascii="Calibri" w:hAnsi="Calibri"/>
          <w:sz w:val="22"/>
          <w:szCs w:val="22"/>
        </w:rPr>
      </w:pPr>
      <w:bookmarkStart w:id="6" w:name="_Ref140145767"/>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6"/>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prostřednictvím původního Poddodavatele Zhotovitel v Řízení veřejné zakázky prokazoval kvalifikaci a nový Poddodavatel nebude mít stejnou či vyšší kvalifikaci </w:t>
      </w:r>
      <w:r>
        <w:rPr>
          <w:rFonts w:ascii="Calibri" w:hAnsi="Calibri"/>
          <w:sz w:val="22"/>
          <w:szCs w:val="22"/>
        </w:rPr>
        <w:t>stanovenou kvalifikačními předpoklady v Řízení veřejné zakázky</w:t>
      </w:r>
      <w:r>
        <w:rPr>
          <w:rFonts w:ascii="Calibri" w:hAnsi="Calibri"/>
          <w:sz w:val="22"/>
          <w:szCs w:val="22"/>
        </w:rPr>
        <w:t xml:space="preserve">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bookmarkEnd w:id="4"/>
    <w:bookmarkEnd w:id="5"/>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bookmarkEnd w:id="3"/>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ind w:left="567"/>
        <w:jc w:val="both"/>
        <w:rPr>
          <w:rFonts w:ascii="Calibri" w:hAnsi="Calibri"/>
          <w:sz w:val="22"/>
          <w:szCs w:val="22"/>
        </w:rPr>
      </w:pPr>
      <w:r>
        <w:rPr>
          <w:rFonts w:ascii="Calibri" w:hAnsi="Calibri"/>
          <w:sz w:val="22"/>
          <w:szCs w:val="22"/>
        </w:rPr>
        <w:t xml:space="preserve">Místem provádění Díla </w:t>
      </w:r>
      <w:r>
        <w:rPr>
          <w:rFonts w:ascii="Calibri" w:hAnsi="Calibri"/>
          <w:sz w:val="22"/>
          <w:szCs w:val="22"/>
        </w:rPr>
        <w:t>jsou pozemky situované podél komunikace v ulici Jihlavská, nacházející se v katastrálním území Žďár nad Sázavou, blíže specifikované v Projektové dokumentaci, která tvoří Přílohu č. 1 této Smlouvy.</w:t>
      </w:r>
    </w:p>
    <w:p>
      <w:pPr>
        <w:jc w:val="both"/>
        <w:rPr>
          <w:rFonts w:ascii="Calibri" w:hAnsi="Calibri"/>
          <w:sz w:val="22"/>
          <w:szCs w:val="22"/>
        </w:rPr>
      </w:pPr>
    </w:p>
    <w:p>
      <w:pPr>
        <w:numPr>
          <w:ilvl w:val="0"/>
          <w:numId w:val="3"/>
        </w:numPr>
        <w:jc w:val="both"/>
        <w:rPr>
          <w:rFonts w:ascii="Calibri" w:hAnsi="Calibri"/>
          <w:sz w:val="22"/>
          <w:szCs w:val="22"/>
        </w:rPr>
      </w:pPr>
      <w:bookmarkStart w:id="7" w:name="_Ref397341966"/>
      <w:r>
        <w:rPr>
          <w:rFonts w:ascii="Calibri" w:hAnsi="Calibri"/>
          <w:sz w:val="22"/>
          <w:szCs w:val="22"/>
        </w:rPr>
        <w:t>Dílo bude prováděno v následujících termínech:</w:t>
      </w:r>
      <w:bookmarkEnd w:id="7"/>
    </w:p>
    <w:p>
      <w:pPr>
        <w:pStyle w:val="Odstavecseseznamem1"/>
        <w:tabs>
          <w:tab w:val="left" w:pos="284"/>
          <w:tab w:val="left" w:pos="6300"/>
        </w:tabs>
        <w:adjustRightInd w:val="0"/>
        <w:ind w:left="0"/>
        <w:jc w:val="both"/>
        <w:textAlignment w:val="baseline"/>
        <w:outlineLvl w:val="0"/>
        <w:rPr>
          <w:b/>
          <w:sz w:val="22"/>
          <w:szCs w:val="22"/>
        </w:rPr>
      </w:pPr>
    </w:p>
    <w:p>
      <w:pPr>
        <w:spacing w:after="200" w:line="276" w:lineRule="auto"/>
        <w:ind w:left="708"/>
        <w:contextualSpacing/>
        <w:jc w:val="both"/>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Lhůta pro předání a převzetí místa plnění:</w:t>
      </w:r>
      <w:r>
        <w:rPr>
          <w:rFonts w:asciiTheme="minorHAnsi" w:eastAsiaTheme="minorEastAsia" w:hAnsiTheme="minorHAnsi" w:cstheme="minorHAnsi"/>
          <w:sz w:val="22"/>
          <w:szCs w:val="22"/>
        </w:rPr>
        <w:t xml:space="preserve"> </w:t>
      </w:r>
      <w:r>
        <w:rPr>
          <w:rFonts w:asciiTheme="minorHAnsi" w:eastAsiaTheme="minorEastAsia" w:hAnsiTheme="minorHAnsi" w:cstheme="minorHAnsi"/>
          <w:bCs/>
          <w:sz w:val="22"/>
          <w:szCs w:val="22"/>
        </w:rPr>
        <w:t xml:space="preserve">v den protokolárního převzetí vysázené zeleně objednatelem dle </w:t>
      </w:r>
      <w:r>
        <w:rPr>
          <w:rFonts w:asciiTheme="minorHAnsi" w:eastAsiaTheme="minorEastAsia" w:hAnsiTheme="minorHAnsi" w:cstheme="minorHAnsi"/>
          <w:bCs/>
          <w:sz w:val="22"/>
          <w:szCs w:val="22"/>
        </w:rPr>
        <w:t>S</w:t>
      </w:r>
      <w:r>
        <w:rPr>
          <w:rFonts w:asciiTheme="minorHAnsi" w:eastAsiaTheme="minorEastAsia" w:hAnsiTheme="minorHAnsi" w:cstheme="minorHAnsi"/>
          <w:bCs/>
          <w:sz w:val="22"/>
          <w:szCs w:val="22"/>
        </w:rPr>
        <w:t>mlouvy o dílo,</w:t>
      </w:r>
    </w:p>
    <w:p>
      <w:pPr>
        <w:spacing w:line="276" w:lineRule="auto"/>
        <w:ind w:left="708"/>
        <w:contextualSpacing/>
        <w:jc w:val="both"/>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Lhůta pro zahájení díla:</w:t>
      </w:r>
      <w:r>
        <w:rPr>
          <w:rFonts w:asciiTheme="minorHAnsi" w:eastAsiaTheme="minorEastAsia" w:hAnsiTheme="minorHAnsi" w:cstheme="minorHAnsi"/>
          <w:sz w:val="22"/>
          <w:szCs w:val="22"/>
        </w:rPr>
        <w:t xml:space="preserve"> </w:t>
      </w:r>
      <w:r>
        <w:rPr>
          <w:rFonts w:asciiTheme="minorHAnsi" w:eastAsiaTheme="minorEastAsia" w:hAnsiTheme="minorHAnsi" w:cstheme="minorHAnsi"/>
          <w:bCs/>
          <w:sz w:val="22"/>
          <w:szCs w:val="22"/>
        </w:rPr>
        <w:t xml:space="preserve">následující den po protokolárním převzetí vysázené zeleně objednatelem dle </w:t>
      </w:r>
      <w:r>
        <w:rPr>
          <w:rFonts w:asciiTheme="minorHAnsi" w:eastAsiaTheme="minorEastAsia" w:hAnsiTheme="minorHAnsi" w:cstheme="minorHAnsi"/>
          <w:bCs/>
          <w:sz w:val="22"/>
          <w:szCs w:val="22"/>
        </w:rPr>
        <w:t>S</w:t>
      </w:r>
      <w:r>
        <w:rPr>
          <w:rFonts w:asciiTheme="minorHAnsi" w:eastAsiaTheme="minorEastAsia" w:hAnsiTheme="minorHAnsi" w:cstheme="minorHAnsi"/>
          <w:bCs/>
          <w:sz w:val="22"/>
          <w:szCs w:val="22"/>
        </w:rPr>
        <w:t>mlouvy o dílo,</w:t>
      </w:r>
    </w:p>
    <w:p>
      <w:pPr>
        <w:tabs>
          <w:tab w:val="right" w:pos="9072"/>
        </w:tabs>
        <w:ind w:left="709" w:hanging="709"/>
        <w:contextualSpacing/>
        <w:jc w:val="both"/>
      </w:pPr>
      <w:r>
        <w:rPr>
          <w:rFonts w:asciiTheme="minorHAnsi" w:eastAsiaTheme="minorEastAsia" w:hAnsiTheme="minorHAnsi" w:cstheme="minorHAnsi"/>
          <w:sz w:val="22"/>
          <w:szCs w:val="22"/>
        </w:rPr>
        <w:tab/>
      </w:r>
      <w:r>
        <w:rPr>
          <w:rFonts w:asciiTheme="minorHAnsi" w:hAnsiTheme="minorHAnsi" w:cstheme="minorHAnsi"/>
          <w:b/>
          <w:sz w:val="22"/>
          <w:szCs w:val="22"/>
        </w:rPr>
        <w:t>Termín pro dokončení a předání Díla:</w:t>
      </w:r>
      <w:r>
        <w:rPr>
          <w:rFonts w:asciiTheme="minorHAnsi" w:hAnsiTheme="minorHAnsi" w:cstheme="minorHAnsi"/>
          <w:sz w:val="22"/>
          <w:szCs w:val="22"/>
        </w:rPr>
        <w:t xml:space="preserve"> </w:t>
      </w:r>
      <w:r>
        <w:rPr>
          <w:rFonts w:asciiTheme="minorHAnsi" w:hAnsiTheme="minorHAnsi" w:cstheme="minorHAnsi"/>
          <w:sz w:val="22"/>
          <w:szCs w:val="22"/>
          <w:lang w:eastAsia="en-US" w:bidi="en-US"/>
        </w:rPr>
        <w:t>6</w:t>
      </w:r>
      <w:r>
        <w:rPr>
          <w:rFonts w:asciiTheme="minorHAnsi" w:hAnsiTheme="minorHAnsi" w:cstheme="minorHAnsi"/>
          <w:sz w:val="22"/>
          <w:szCs w:val="22"/>
          <w:lang w:bidi="en-US"/>
        </w:rPr>
        <w:t>0</w:t>
      </w:r>
      <w:r>
        <w:rPr>
          <w:rFonts w:asciiTheme="minorHAnsi" w:hAnsiTheme="minorHAnsi" w:cstheme="minorHAnsi"/>
          <w:sz w:val="22"/>
          <w:szCs w:val="22"/>
          <w:lang w:eastAsia="en-US" w:bidi="en-US"/>
        </w:rPr>
        <w:t xml:space="preserve"> </w:t>
      </w:r>
      <w:sdt>
        <w:sdtPr>
          <w:rPr>
            <w:rFonts w:asciiTheme="minorHAnsi" w:eastAsia="Calibr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rFonts w:asciiTheme="minorHAnsi" w:hAnsiTheme="minorHAnsi" w:cstheme="minorHAnsi"/>
          <w:sz w:val="22"/>
          <w:szCs w:val="22"/>
          <w:lang w:eastAsia="en-US" w:bidi="en-US"/>
        </w:rPr>
        <w:t xml:space="preserve"> ode dne převzetí místa </w:t>
      </w:r>
      <w:r>
        <w:rPr>
          <w:rFonts w:asciiTheme="minorHAnsi" w:hAnsiTheme="minorHAnsi" w:cstheme="minorHAnsi"/>
          <w:sz w:val="22"/>
          <w:szCs w:val="22"/>
          <w:lang w:eastAsia="en-US" w:bidi="en-US"/>
        </w:rPr>
        <w:t xml:space="preserve">plnění </w:t>
      </w:r>
      <w:r>
        <w:rPr>
          <w:rFonts w:asciiTheme="minorHAnsi" w:hAnsiTheme="minorHAnsi" w:cstheme="minorHAnsi"/>
          <w:sz w:val="22"/>
          <w:szCs w:val="22"/>
          <w:lang w:eastAsia="en-US" w:bidi="en-US"/>
        </w:rPr>
        <w:t>Zhotovitelem</w:t>
      </w:r>
      <w:r>
        <w:rPr>
          <w:rFonts w:asciiTheme="minorHAnsi" w:hAnsiTheme="minorHAnsi" w:cstheme="minorHAnsi"/>
          <w:sz w:val="22"/>
          <w:szCs w:val="22"/>
          <w:lang w:eastAsia="en-US" w:bidi="en-US"/>
        </w:rPr>
        <w:t xml:space="preserve">, s přihlédnutím ke znění ustanovení v odst. </w:t>
      </w:r>
      <w:r>
        <w:rPr>
          <w:rFonts w:asciiTheme="minorHAnsi" w:eastAsia="Calibri" w:hAnsiTheme="minorHAnsi" w:cstheme="minorHAnsi"/>
          <w:sz w:val="22"/>
          <w:szCs w:val="22"/>
          <w:lang w:eastAsia="en-US" w:bidi="en-US"/>
        </w:rPr>
        <w:fldChar w:fldCharType="begin"/>
      </w:r>
      <w:r>
        <w:rPr>
          <w:rFonts w:asciiTheme="minorHAnsi" w:hAnsiTheme="minorHAnsi" w:cstheme="minorHAnsi"/>
          <w:sz w:val="22"/>
          <w:szCs w:val="22"/>
          <w:lang w:eastAsia="en-US" w:bidi="en-US"/>
        </w:rPr>
        <w:instrText xml:space="preserve"> REF _Ref212723207 \r \h </w:instrText>
      </w:r>
      <w:r>
        <w:rPr>
          <w:rFonts w:asciiTheme="minorHAnsi" w:eastAsia="Calibri" w:hAnsiTheme="minorHAnsi" w:cstheme="minorHAnsi"/>
          <w:sz w:val="22"/>
          <w:szCs w:val="22"/>
          <w:lang w:eastAsia="en-US" w:bidi="en-US"/>
        </w:rPr>
      </w:r>
      <w:r>
        <w:rPr>
          <w:rFonts w:asciiTheme="minorHAnsi" w:eastAsia="Calibri" w:hAnsiTheme="minorHAnsi" w:cstheme="minorHAnsi"/>
          <w:sz w:val="22"/>
          <w:szCs w:val="22"/>
          <w:lang w:eastAsia="en-US" w:bidi="en-US"/>
        </w:rPr>
        <w:fldChar w:fldCharType="separate"/>
      </w:r>
      <w:r>
        <w:rPr>
          <w:rFonts w:asciiTheme="minorHAnsi" w:hAnsiTheme="minorHAnsi" w:cstheme="minorHAnsi"/>
          <w:sz w:val="22"/>
          <w:szCs w:val="22"/>
          <w:lang w:eastAsia="en-US" w:bidi="en-US"/>
        </w:rPr>
        <w:t>10</w:t>
      </w:r>
      <w:r>
        <w:rPr>
          <w:rFonts w:asciiTheme="minorHAnsi" w:eastAsia="Calibri" w:hAnsiTheme="minorHAnsi" w:cstheme="minorHAnsi"/>
          <w:sz w:val="22"/>
          <w:szCs w:val="22"/>
          <w:lang w:eastAsia="en-US" w:bidi="en-US"/>
        </w:rPr>
        <w:fldChar w:fldCharType="end"/>
      </w:r>
      <w:r>
        <w:rPr>
          <w:rFonts w:asciiTheme="minorHAnsi" w:hAnsiTheme="minorHAnsi" w:cstheme="minorHAnsi"/>
          <w:sz w:val="22"/>
          <w:szCs w:val="22"/>
          <w:lang w:eastAsia="en-US" w:bidi="en-US"/>
        </w:rPr>
        <w:t xml:space="preserve"> Smlouvy.</w:t>
      </w:r>
    </w:p>
    <w:p>
      <w:pPr>
        <w:rPr>
          <w:rFonts w:ascii="Calibri" w:hAnsi="Calibri"/>
          <w:sz w:val="22"/>
          <w:szCs w:val="22"/>
        </w:rPr>
      </w:pPr>
      <w:bookmarkStart w:id="8" w:name="_Ref391889466"/>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8"/>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9" w:name="_Ref392063031"/>
      <w:r>
        <w:rPr>
          <w:rFonts w:ascii="Calibri" w:hAnsi="Calibri"/>
          <w:sz w:val="22"/>
          <w:szCs w:val="22"/>
        </w:rPr>
        <w:t>Závazek Zhotovitele provést Dílo podle Smlouvy je splněn jeho včasným dokončením a předáním Objednateli k užívání Díla, k uvedení Díla do trvalého provozu, a dokladů stanovených Smlouvou, právními předpisy a rozhodnutími orgánů veřejné správy.</w:t>
      </w:r>
      <w:bookmarkEnd w:id="9"/>
    </w:p>
    <w:p>
      <w:pPr>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Smluvní strany se dohodly, že ustanovení § 1921, § 2112, § 2605 odst. 2, § 2606, § 2609, § 2618 a § 2629 odst. 1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bookmarkStart w:id="12"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12"/>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ÚRS CZ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ÚRS CZ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Smluvní strany dále sjednají k těmto změnám stvrzující dodatek ke Smlouvě, kde podrobně popíší důvody, pro které vícepráce nesnesly odkladu; tento dodatek má pouze deklaratorní charakter.</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w:t>
      </w:r>
      <w:r>
        <w:rPr>
          <w:rFonts w:asciiTheme="minorHAnsi" w:hAnsiTheme="minorHAnsi" w:cstheme="minorHAnsi"/>
          <w:sz w:val="22"/>
          <w:szCs w:val="22"/>
        </w:rPr>
        <w:t> Roční zprávě</w:t>
      </w:r>
      <w:r>
        <w:rPr>
          <w:rFonts w:asciiTheme="minorHAnsi" w:hAnsiTheme="minorHAnsi" w:cstheme="minorHAnsi"/>
          <w:sz w:val="22"/>
          <w:szCs w:val="22"/>
        </w:rPr>
        <w:t>, není-li dohodnuto jinak.</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bude hradit Zhotoviteli Cenu Díla průběžně </w:t>
      </w:r>
      <w:r>
        <w:rPr>
          <w:rFonts w:ascii="Calibri" w:hAnsi="Calibri"/>
          <w:sz w:val="22"/>
          <w:szCs w:val="22"/>
        </w:rPr>
        <w:t xml:space="preserve">ročně </w:t>
      </w:r>
      <w:r>
        <w:rPr>
          <w:rFonts w:ascii="Calibri" w:hAnsi="Calibri"/>
          <w:sz w:val="22"/>
          <w:szCs w:val="22"/>
        </w:rPr>
        <w:t>na základě faktur – daňových dokladů (dále jen „</w:t>
      </w:r>
      <w:r>
        <w:rPr>
          <w:rFonts w:ascii="Calibri" w:hAnsi="Calibri"/>
          <w:b/>
          <w:i/>
          <w:sz w:val="22"/>
          <w:szCs w:val="22"/>
        </w:rPr>
        <w:t>Faktura</w:t>
      </w:r>
      <w:r>
        <w:rPr>
          <w:rFonts w:ascii="Calibri" w:hAnsi="Calibri"/>
          <w:sz w:val="22"/>
          <w:szCs w:val="22"/>
        </w:rPr>
        <w:t xml:space="preserve">“), vystavených za stavební práce, dodávky a služby na Díle provedené, dodané a poskytnuté v příslušném kalendářním měsíci. Datum uskutečnění zdanitelného plnění je vždy poslední den kalendářního měsíce, za který je Faktura vystavována. </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včetně informace, že provedení Díla podléhá režimu přenesení daňové povinnosti</w:t>
      </w:r>
      <w:r>
        <w:rPr>
          <w:rFonts w:ascii="Calibri" w:eastAsiaTheme="minorHAnsi" w:hAnsi="Calibri" w:cs="Calibri"/>
          <w:sz w:val="22"/>
          <w:szCs w:val="22"/>
        </w:rPr>
        <w:t xml:space="preserve">, jestliže mu podléhá, </w:t>
      </w:r>
      <w:r>
        <w:rPr>
          <w:rFonts w:ascii="Calibri" w:eastAsiaTheme="minorHAnsi" w:hAnsi="Calibri" w:cs="Calibri"/>
          <w:sz w:val="22"/>
          <w:szCs w:val="22"/>
        </w:rPr>
        <w:t xml:space="preserve">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pStyle w:val="Odstavecseseznamem"/>
        <w:rPr>
          <w:rFonts w:ascii="Calibri" w:hAnsi="Calibri" w:cs="Calibri"/>
          <w:sz w:val="22"/>
          <w:szCs w:val="22"/>
        </w:rPr>
      </w:pPr>
    </w:p>
    <w:p>
      <w:pPr>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color w:val="000000" w:themeColor="text1"/>
        </w:rPr>
        <w:t xml:space="preserve">Objednatel čestně prohlašuje, že přijaté plnění, tj. plnění poskytnuté Zhotovitelem dle této Smlouvy souvisí výlučně s činností příjemce plnění při výkonu veřejné správy, při níž se Objednatel nepovažuje za osobu povinnou k dani. Příjemce plnění není v tomto případě v postavení osoby povinné k dani. Objednatel požaduje z výše uvedených důvodů, aby Zhotovitel neuplatnil režim přenesení daňové povinnosti ve smyslu § 92a a § 92e </w:t>
      </w:r>
      <w:proofErr w:type="spellStart"/>
      <w:r>
        <w:rPr>
          <w:rFonts w:ascii="Calibri" w:hAnsi="Calibri"/>
        </w:rPr>
        <w:t>ZoDPH</w:t>
      </w:r>
      <w:proofErr w:type="spellEnd"/>
      <w:r>
        <w:rPr>
          <w:rFonts w:asciiTheme="minorHAnsi" w:hAnsiTheme="minorHAnsi" w:cstheme="minorHAnsi"/>
          <w:color w:val="000000" w:themeColor="text1"/>
        </w:rPr>
        <w:t>.</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Calibri" w:hAnsi="Calibri"/>
          <w:sz w:val="22"/>
          <w:szCs w:val="22"/>
        </w:rPr>
        <w:t>pdf</w:t>
      </w:r>
      <w:proofErr w:type="spellEnd"/>
      <w:r>
        <w:rPr>
          <w:rFonts w:ascii="Calibri" w:hAnsi="Calibri"/>
          <w:sz w:val="22"/>
          <w:szCs w:val="22"/>
        </w:rPr>
        <w: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28</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61</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13" w:name="_Ref144310430"/>
      <w:r>
        <w:rPr>
          <w:rFonts w:ascii="Calibri" w:hAnsi="Calibri"/>
          <w:sz w:val="22"/>
          <w:szCs w:val="22"/>
        </w:rPr>
        <w:t>Zhotovitel poskytuje Objednateli záruku za jakost Díla v délce trvání záruční doby 24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1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14" w:name="_Ref140140668"/>
      <w:r>
        <w:rPr>
          <w:rFonts w:ascii="Calibri" w:hAnsi="Calibri"/>
          <w:sz w:val="22"/>
          <w:szCs w:val="22"/>
        </w:rPr>
        <w:t>Zhotovitel je povinen odstranit reklamované vady neprodleně, nejpozději však do 10 dnů od doručení reklamace, pokud nebude Smluvními stranami písemně dohodnuta jiná lhůta.</w:t>
      </w:r>
      <w:bookmarkEnd w:id="1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15"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15"/>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61</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16"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1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17"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17"/>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 je Zhotovitel povinen uhradit Objednateli smluvní pokutu ve výši</w:t>
      </w:r>
      <w:r>
        <w:rPr>
          <w:rFonts w:asciiTheme="minorHAnsi" w:hAnsiTheme="minorHAnsi" w:cstheme="minorHAnsi"/>
          <w:sz w:val="22"/>
          <w:szCs w:val="22"/>
          <w:lang w:bidi="en-US"/>
        </w:rPr>
        <w:t xml:space="preserve">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povinnost odstranit ve sjednané lhůtě reklamované vady, je povinen uhradit Objednateli smluvní pokutu ve výši</w:t>
      </w:r>
      <w:r>
        <w:rPr>
          <w:rFonts w:asciiTheme="minorHAnsi" w:hAnsiTheme="minorHAnsi" w:cstheme="minorHAnsi"/>
          <w:sz w:val="22"/>
          <w:szCs w:val="22"/>
          <w:lang w:bidi="en-US"/>
        </w:rPr>
        <w:t xml:space="preserve">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lastRenderedPageBreak/>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w:instrText>
      </w:r>
      <w:r>
        <w:rPr>
          <w:rFonts w:ascii="Calibri" w:hAnsi="Calibri"/>
          <w:sz w:val="22"/>
          <w:szCs w:val="22"/>
        </w:rPr>
      </w:r>
      <w:r>
        <w:rPr>
          <w:rFonts w:ascii="Calibri" w:hAnsi="Calibri"/>
          <w:sz w:val="22"/>
          <w:szCs w:val="22"/>
        </w:rPr>
        <w:fldChar w:fldCharType="separate"/>
      </w:r>
      <w:r>
        <w:rPr>
          <w:rFonts w:ascii="Calibri" w:hAnsi="Calibri"/>
          <w:sz w:val="22"/>
          <w:szCs w:val="22"/>
        </w:rPr>
        <w:t>15</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9" w:history="1">
        <w:r>
          <w:rPr>
            <w:rStyle w:val="Hypertextovodkaz"/>
            <w:rFonts w:ascii="Calibri" w:hAnsi="Calibri"/>
            <w:sz w:val="22"/>
            <w:szCs w:val="22"/>
          </w:rPr>
          <w:t>https://ocenovanidrevin.nature.cz</w:t>
        </w:r>
      </w:hyperlink>
      <w:r>
        <w:rPr>
          <w:rFonts w:ascii="Calibri" w:hAnsi="Calibri"/>
          <w:sz w:val="22"/>
          <w:szCs w:val="22"/>
        </w:rPr>
        <w:t>). Objednatel je oprávněn kontrolovat dodržování opatření a Standardů kdykoliv v průběhu provádění Díla a v případě zjištěných nedostatků žádat po Zhotoviteli bezodkladné zjednání nápravy.</w:t>
      </w:r>
    </w:p>
    <w:p>
      <w:pPr>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69</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jc w:val="both"/>
        <w:rPr>
          <w:rFonts w:ascii="Arial" w:eastAsia="Arial" w:hAnsi="Arial" w:cs="Arial"/>
          <w:highlight w:val="yellow"/>
        </w:rPr>
      </w:pP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poskytnuta dotace z Programu.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lastRenderedPageBreak/>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88</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práce do 5 dnů od uplynutí termínu zahájení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24</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86</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18"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1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19" w:name="_Toc383117526"/>
      <w:r>
        <w:rPr>
          <w:szCs w:val="22"/>
        </w:rPr>
        <w:t>OSTATNÍ UJEDNÁNÍ</w:t>
      </w:r>
      <w:bookmarkEnd w:id="19"/>
    </w:p>
    <w:p>
      <w:pPr>
        <w:rPr>
          <w:lang w:eastAsia="ar-SA"/>
        </w:rPr>
      </w:pPr>
    </w:p>
    <w:p>
      <w:pPr>
        <w:numPr>
          <w:ilvl w:val="0"/>
          <w:numId w:val="3"/>
        </w:numPr>
        <w:jc w:val="both"/>
        <w:rPr>
          <w:rFonts w:ascii="Calibri" w:hAnsi="Calibri"/>
          <w:sz w:val="22"/>
          <w:szCs w:val="22"/>
        </w:rPr>
      </w:pPr>
      <w:bookmarkStart w:id="20"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0"/>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rPr>
          <w:rFonts w:ascii="Calibri" w:hAnsi="Calibri"/>
          <w:sz w:val="22"/>
          <w:szCs w:val="22"/>
        </w:rPr>
      </w:pPr>
    </w:p>
    <w:p>
      <w:pPr>
        <w:pStyle w:val="Nadpis1"/>
        <w:rPr>
          <w:szCs w:val="22"/>
        </w:rPr>
      </w:pPr>
      <w:bookmarkStart w:id="21" w:name="_Toc383117528"/>
      <w:r>
        <w:rPr>
          <w:szCs w:val="22"/>
        </w:rPr>
        <w:t>ZÁVĚREČNÁ UJEDNÁNÍ</w:t>
      </w:r>
      <w:bookmarkEnd w:id="21"/>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rPr>
          <w:rFonts w:asciiTheme="minorHAnsi" w:hAnsiTheme="minorHAnsi" w:cstheme="minorHAnsi"/>
          <w:sz w:val="22"/>
          <w:szCs w:val="22"/>
          <w:lang w:bidi="en-US"/>
        </w:rPr>
      </w:pPr>
      <w:bookmarkStart w:id="22" w:name="_Hlk203481906"/>
      <w:r>
        <w:rPr>
          <w:rFonts w:asciiTheme="minorHAnsi" w:hAnsiTheme="minorHAnsi" w:cstheme="minorHAnsi"/>
          <w:sz w:val="22"/>
          <w:szCs w:val="22"/>
        </w:rPr>
        <w:t>Tato smlouva byla schválena Radou města Žďár nad Sázavou na schůzi č.</w:t>
      </w:r>
      <w:r>
        <w:rPr>
          <w:rFonts w:asciiTheme="minorHAnsi" w:hAnsiTheme="minorHAnsi" w:cstheme="minorHAnsi"/>
          <w:sz w:val="22"/>
          <w:szCs w:val="22"/>
          <w:lang w:bidi="en-US"/>
        </w:rPr>
        <w:t xml:space="preserve"> </w:t>
      </w:r>
      <w:r>
        <w:rPr>
          <w:rFonts w:asciiTheme="minorHAnsi" w:hAnsiTheme="minorHAnsi" w:cstheme="minorHAnsi"/>
          <w:sz w:val="22"/>
          <w:szCs w:val="22"/>
          <w:highlight w:val="cyan"/>
          <w:lang w:bidi="en-US"/>
        </w:rPr>
        <w:t>[bude doplněno objednatelem]</w:t>
      </w:r>
      <w:r>
        <w:rPr>
          <w:rFonts w:asciiTheme="minorHAnsi" w:hAnsiTheme="minorHAnsi" w:cstheme="minorHAnsi"/>
          <w:sz w:val="22"/>
          <w:szCs w:val="22"/>
          <w:lang w:bidi="en-US"/>
        </w:rPr>
        <w:t>,</w:t>
      </w:r>
      <w:r>
        <w:rPr>
          <w:rFonts w:asciiTheme="minorHAnsi" w:hAnsiTheme="minorHAnsi" w:cstheme="minorHAnsi"/>
          <w:sz w:val="22"/>
          <w:szCs w:val="22"/>
        </w:rPr>
        <w:t xml:space="preserve"> konané dne</w:t>
      </w:r>
      <w:r>
        <w:rPr>
          <w:rFonts w:asciiTheme="minorHAnsi" w:hAnsiTheme="minorHAnsi" w:cstheme="minorHAnsi"/>
          <w:sz w:val="22"/>
          <w:szCs w:val="22"/>
          <w:lang w:bidi="en-US"/>
        </w:rPr>
        <w:t xml:space="preserve"> </w:t>
      </w:r>
      <w:r>
        <w:rPr>
          <w:rFonts w:asciiTheme="minorHAnsi" w:hAnsiTheme="minorHAnsi" w:cstheme="minorHAnsi"/>
          <w:sz w:val="22"/>
          <w:szCs w:val="22"/>
          <w:highlight w:val="cyan"/>
          <w:lang w:bidi="en-US"/>
        </w:rPr>
        <w:t>[bude doplněno objednatelem]</w:t>
      </w:r>
      <w:r>
        <w:rPr>
          <w:rFonts w:asciiTheme="minorHAnsi" w:hAnsiTheme="minorHAnsi" w:cstheme="minorHAnsi"/>
          <w:sz w:val="22"/>
          <w:szCs w:val="22"/>
        </w:rPr>
        <w:t>, a to usnesením č.</w:t>
      </w:r>
      <w:r>
        <w:rPr>
          <w:rFonts w:asciiTheme="minorHAnsi" w:hAnsiTheme="minorHAnsi" w:cstheme="minorHAnsi"/>
          <w:sz w:val="22"/>
          <w:szCs w:val="22"/>
          <w:lang w:bidi="en-US"/>
        </w:rPr>
        <w:t xml:space="preserve"> </w:t>
      </w:r>
      <w:r>
        <w:rPr>
          <w:rFonts w:asciiTheme="minorHAnsi" w:hAnsiTheme="minorHAnsi" w:cstheme="minorHAnsi"/>
          <w:sz w:val="22"/>
          <w:szCs w:val="22"/>
          <w:highlight w:val="cyan"/>
          <w:lang w:bidi="en-US"/>
        </w:rPr>
        <w:t>[bude doplněno objednatelem]</w:t>
      </w:r>
      <w:r>
        <w:rPr>
          <w:rFonts w:asciiTheme="minorHAnsi" w:hAnsiTheme="minorHAnsi" w:cstheme="minorHAnsi"/>
          <w:sz w:val="22"/>
          <w:szCs w:val="22"/>
          <w:lang w:bidi="en-US"/>
        </w:rPr>
        <w:t>.</w:t>
      </w:r>
      <w:bookmarkEnd w:id="22"/>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lastRenderedPageBreak/>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23" w:name="_Ref383095347"/>
      <w:bookmarkStart w:id="24"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23"/>
      <w:r>
        <w:rPr>
          <w:rFonts w:ascii="Calibri" w:hAnsi="Calibri"/>
          <w:sz w:val="22"/>
          <w:szCs w:val="22"/>
        </w:rPr>
        <w:t>Projektová dokumentace</w:t>
      </w:r>
      <w:bookmarkEnd w:id="24"/>
    </w:p>
    <w:p>
      <w:pPr>
        <w:pStyle w:val="Odstavecseseznamem"/>
        <w:keepNext/>
        <w:numPr>
          <w:ilvl w:val="0"/>
          <w:numId w:val="8"/>
        </w:numPr>
        <w:ind w:left="567" w:hanging="567"/>
        <w:jc w:val="both"/>
        <w:rPr>
          <w:rFonts w:ascii="Calibri" w:hAnsi="Calibri"/>
          <w:sz w:val="22"/>
          <w:szCs w:val="22"/>
        </w:rPr>
      </w:pPr>
      <w:bookmarkStart w:id="25" w:name="_Ref434937891"/>
      <w:bookmarkStart w:id="26"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25"/>
    </w:p>
    <w:p>
      <w:pPr>
        <w:pStyle w:val="Odstavecseseznamem"/>
        <w:keepNext/>
        <w:numPr>
          <w:ilvl w:val="0"/>
          <w:numId w:val="8"/>
        </w:numPr>
        <w:ind w:left="567" w:hanging="567"/>
        <w:jc w:val="both"/>
        <w:rPr>
          <w:rFonts w:ascii="Calibri" w:hAnsi="Calibri"/>
          <w:sz w:val="22"/>
          <w:szCs w:val="22"/>
        </w:rPr>
      </w:pPr>
      <w:bookmarkStart w:id="27" w:name="_Ref383515734"/>
      <w:bookmarkStart w:id="28"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End w:id="26"/>
      <w:bookmarkEnd w:id="27"/>
      <w:bookmarkEnd w:id="28"/>
      <w:r>
        <w:rPr>
          <w:rFonts w:asciiTheme="minorHAnsi" w:hAnsiTheme="minorHAnsi" w:cstheme="minorHAnsi"/>
          <w:sz w:val="22"/>
          <w:szCs w:val="22"/>
          <w:lang w:bidi="en-US"/>
        </w:rPr>
        <w:t>Seznam poddodavatelů</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b/>
          <w:bCs/>
          <w:sz w:val="22"/>
          <w:szCs w:val="22"/>
        </w:rPr>
      </w:pP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highlight w:val="yellow"/>
        </w:rPr>
      </w:pPr>
      <w:r>
        <w:rPr>
          <w:rFonts w:asciiTheme="minorHAnsi" w:hAnsiTheme="minorHAnsi"/>
          <w:b/>
          <w:sz w:val="22"/>
          <w:szCs w:val="22"/>
          <w:highlight w:val="yellow"/>
        </w:rPr>
        <w:t>Seznam poddodavatelů</w:t>
      </w:r>
    </w:p>
    <w:p>
      <w:pPr>
        <w:suppressAutoHyphens/>
        <w:rPr>
          <w:rFonts w:asciiTheme="minorHAnsi" w:hAnsiTheme="minorHAnsi"/>
          <w:b/>
          <w:i/>
          <w:sz w:val="22"/>
          <w:szCs w:val="22"/>
          <w:highlight w:val="yellow"/>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Seznam poddodavatelů bude ke Smlouvě přiložen při jejím uzavřením s vybraným dodavatelem dle nabídky předložené jím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p>
    <w:p>
      <w:pPr>
        <w:jc w:val="both"/>
        <w:rPr>
          <w:rFonts w:ascii="Calibri" w:hAnsi="Calibri"/>
          <w:b/>
          <w:bCs/>
          <w:sz w:val="22"/>
          <w:szCs w:val="22"/>
        </w:rPr>
      </w:pPr>
    </w:p>
    <w:p>
      <w:pPr>
        <w:jc w:val="both"/>
        <w:rPr>
          <w:rFonts w:ascii="Calibri" w:hAnsi="Calibri"/>
          <w:b/>
          <w:bCs/>
          <w:sz w:val="22"/>
          <w:szCs w:val="22"/>
        </w:rPr>
      </w:pPr>
    </w:p>
    <w:sectPr>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17</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C45030"/>
    <w:multiLevelType w:val="hybridMultilevel"/>
    <w:tmpl w:val="2D8CBF60"/>
    <w:lvl w:ilvl="0" w:tplc="9E26B8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4"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5" w15:restartNumberingAfterBreak="0">
    <w:nsid w:val="34723671"/>
    <w:multiLevelType w:val="hybridMultilevel"/>
    <w:tmpl w:val="71621D0E"/>
    <w:lvl w:ilvl="0" w:tplc="E7E61660">
      <w:start w:val="1"/>
      <w:numFmt w:val="lowerLetter"/>
      <w:lvlText w:val="%1)"/>
      <w:lvlJc w:val="left"/>
      <w:pPr>
        <w:ind w:left="720" w:hanging="360"/>
      </w:pPr>
      <w:rPr>
        <w:rFonts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3"/>
  </w:num>
  <w:num w:numId="5">
    <w:abstractNumId w:val="1"/>
  </w:num>
  <w:num w:numId="6">
    <w:abstractNumId w:val="6"/>
  </w:num>
  <w:num w:numId="7">
    <w:abstractNumId w:val="9"/>
  </w:num>
  <w:num w:numId="8">
    <w:abstractNumId w:val="10"/>
  </w:num>
  <w:num w:numId="9">
    <w:abstractNumId w:val="7"/>
  </w:num>
  <w:num w:numId="10">
    <w:abstractNumId w:val="12"/>
  </w:num>
  <w:num w:numId="11">
    <w:abstractNumId w:val="11"/>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formatting="0"/>
  <w:doNotTrackFormatting/>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Odrážky"/>
    <w:basedOn w:val="Normln"/>
    <w:link w:val="OdstavecseseznamemChar"/>
    <w:uiPriority w:val="99"/>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Odrážky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2760">
      <w:bodyDiv w:val="1"/>
      <w:marLeft w:val="0"/>
      <w:marRight w:val="0"/>
      <w:marTop w:val="0"/>
      <w:marBottom w:val="0"/>
      <w:divBdr>
        <w:top w:val="none" w:sz="0" w:space="0" w:color="auto"/>
        <w:left w:val="none" w:sz="0" w:space="0" w:color="auto"/>
        <w:bottom w:val="none" w:sz="0" w:space="0" w:color="auto"/>
        <w:right w:val="none" w:sz="0" w:space="0" w:color="auto"/>
      </w:divBdr>
    </w:div>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novanidrevin.nature.cz"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5410</Words>
  <Characters>31919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5</cp:revision>
  <cp:lastPrinted>2022-07-14T18:38:00Z</cp:lastPrinted>
  <dcterms:created xsi:type="dcterms:W3CDTF">2025-11-05T11:32:00Z</dcterms:created>
  <dcterms:modified xsi:type="dcterms:W3CDTF">2025-11-05T11:49:00Z</dcterms:modified>
</cp:coreProperties>
</file>