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B3376" w14:textId="77777777" w:rsidR="00E80C9A" w:rsidRPr="003555D7" w:rsidRDefault="00E80C9A" w:rsidP="00E80C9A">
      <w:pPr>
        <w:pStyle w:val="Obsah1"/>
        <w:rPr>
          <w:rFonts w:ascii="Calibri Light" w:hAnsi="Calibri Light" w:cs="Calibri Light"/>
        </w:rPr>
      </w:pPr>
    </w:p>
    <w:p w14:paraId="4E321FBE" w14:textId="77777777" w:rsidR="00E80C9A" w:rsidRPr="003555D7" w:rsidRDefault="00E80C9A" w:rsidP="00E80C9A">
      <w:pPr>
        <w:pStyle w:val="Nzev"/>
        <w:rPr>
          <w:rFonts w:ascii="Calibri Light" w:hAnsi="Calibri Light" w:cs="Calibri Light"/>
          <w:bCs/>
          <w:sz w:val="52"/>
        </w:rPr>
      </w:pPr>
      <w:r>
        <w:rPr>
          <w:rFonts w:ascii="Calibri Light" w:hAnsi="Calibri Light" w:cs="Calibri Light"/>
          <w:bCs/>
          <w:sz w:val="52"/>
        </w:rPr>
        <w:t>T</w:t>
      </w:r>
      <w:r w:rsidRPr="003555D7">
        <w:rPr>
          <w:rFonts w:ascii="Calibri Light" w:hAnsi="Calibri Light" w:cs="Calibri Light"/>
          <w:bCs/>
          <w:sz w:val="52"/>
        </w:rPr>
        <w:t>ECHNICKÁ ZPRÁVA</w:t>
      </w:r>
    </w:p>
    <w:p w14:paraId="73F888BF" w14:textId="77777777" w:rsidR="00E80C9A" w:rsidRPr="00730AEE" w:rsidRDefault="00E80C9A" w:rsidP="00E80C9A">
      <w:pPr>
        <w:rPr>
          <w:rFonts w:ascii="Calibri Light" w:hAnsi="Calibri Light" w:cs="Calibri Light"/>
        </w:rPr>
      </w:pPr>
    </w:p>
    <w:p w14:paraId="20A30797" w14:textId="363FA996" w:rsidR="00E80C9A" w:rsidRPr="005B4F4D" w:rsidRDefault="009F1279" w:rsidP="00E80C9A">
      <w:pPr>
        <w:jc w:val="both"/>
        <w:rPr>
          <w:rFonts w:ascii="Calibri Light" w:hAnsi="Calibri Light" w:cs="Calibri Light"/>
        </w:rPr>
      </w:pPr>
      <w:r w:rsidRPr="005B4F4D">
        <w:rPr>
          <w:rFonts w:ascii="Calibri Light" w:hAnsi="Calibri Light" w:cs="Calibri Light"/>
        </w:rPr>
        <w:t>OBSAH:</w:t>
      </w:r>
    </w:p>
    <w:p w14:paraId="2966FD9B" w14:textId="77777777" w:rsidR="00E80C9A" w:rsidRPr="005B4F4D" w:rsidRDefault="00E80C9A" w:rsidP="00E80C9A">
      <w:pPr>
        <w:jc w:val="both"/>
        <w:rPr>
          <w:rFonts w:ascii="Calibri Light" w:hAnsi="Calibri Light" w:cs="Calibri Light"/>
        </w:rPr>
      </w:pPr>
    </w:p>
    <w:p w14:paraId="15EE2FC6" w14:textId="39DAA455" w:rsidR="00BA3CFB" w:rsidRDefault="00E80C9A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164247">
        <w:rPr>
          <w:rFonts w:asciiTheme="majorHAnsi" w:hAnsiTheme="majorHAnsi" w:cstheme="majorHAnsi"/>
        </w:rPr>
        <w:fldChar w:fldCharType="begin"/>
      </w:r>
      <w:r w:rsidRPr="00164247">
        <w:rPr>
          <w:rFonts w:asciiTheme="majorHAnsi" w:hAnsiTheme="majorHAnsi" w:cstheme="majorHAnsi"/>
        </w:rPr>
        <w:instrText xml:space="preserve"> TOC \o "1-3" \h \z </w:instrText>
      </w:r>
      <w:r w:rsidRPr="00164247">
        <w:rPr>
          <w:rFonts w:asciiTheme="majorHAnsi" w:hAnsiTheme="majorHAnsi" w:cstheme="majorHAnsi"/>
        </w:rPr>
        <w:fldChar w:fldCharType="separate"/>
      </w:r>
      <w:hyperlink w:anchor="_Toc157691471" w:history="1">
        <w:r w:rsidR="00BA3CFB" w:rsidRPr="00D83014">
          <w:rPr>
            <w:rStyle w:val="Hypertextovodkaz"/>
            <w:rFonts w:asciiTheme="majorHAnsi" w:hAnsiTheme="majorHAnsi" w:cstheme="majorHAnsi"/>
            <w:bCs/>
            <w:smallCaps/>
            <w:noProof/>
          </w:rPr>
          <w:t>1.</w:t>
        </w:r>
        <w:r w:rsidR="00BA3CFB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D83014">
          <w:rPr>
            <w:rStyle w:val="Hypertextovodkaz"/>
            <w:rFonts w:asciiTheme="majorHAnsi" w:hAnsiTheme="majorHAnsi" w:cstheme="majorHAnsi"/>
            <w:bCs/>
            <w:smallCaps/>
            <w:noProof/>
          </w:rPr>
          <w:t>Technické a provozní údaje</w:t>
        </w:r>
        <w:r w:rsidR="00BA3CFB">
          <w:rPr>
            <w:noProof/>
            <w:webHidden/>
          </w:rPr>
          <w:tab/>
        </w:r>
        <w:r w:rsidR="00BA3CFB">
          <w:rPr>
            <w:noProof/>
            <w:webHidden/>
          </w:rPr>
          <w:fldChar w:fldCharType="begin"/>
        </w:r>
        <w:r w:rsidR="00BA3CFB">
          <w:rPr>
            <w:noProof/>
            <w:webHidden/>
          </w:rPr>
          <w:instrText xml:space="preserve"> PAGEREF _Toc157691471 \h </w:instrText>
        </w:r>
        <w:r w:rsidR="00BA3CFB">
          <w:rPr>
            <w:noProof/>
            <w:webHidden/>
          </w:rPr>
        </w:r>
        <w:r w:rsidR="00BA3CFB">
          <w:rPr>
            <w:noProof/>
            <w:webHidden/>
          </w:rPr>
          <w:fldChar w:fldCharType="separate"/>
        </w:r>
        <w:r w:rsidR="00BA3CFB">
          <w:rPr>
            <w:noProof/>
            <w:webHidden/>
          </w:rPr>
          <w:t>2</w:t>
        </w:r>
        <w:r w:rsidR="00BA3CFB">
          <w:rPr>
            <w:noProof/>
            <w:webHidden/>
          </w:rPr>
          <w:fldChar w:fldCharType="end"/>
        </w:r>
      </w:hyperlink>
    </w:p>
    <w:p w14:paraId="6DAB7181" w14:textId="62D979CC" w:rsidR="00BA3CFB" w:rsidRPr="00BA3CFB" w:rsidRDefault="00000000">
      <w:pPr>
        <w:pStyle w:val="Obsah2"/>
        <w:tabs>
          <w:tab w:val="left" w:pos="96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2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1.1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Základní údaje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_Toc157691472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2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652E5301" w14:textId="47827DAD" w:rsidR="00BA3CFB" w:rsidRPr="00BA3CFB" w:rsidRDefault="00000000">
      <w:pPr>
        <w:pStyle w:val="Obsah2"/>
        <w:tabs>
          <w:tab w:val="left" w:pos="96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3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1.2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Určení vnějších vlivů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_Toc157691473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2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3D3331FE" w14:textId="7D3E5814" w:rsidR="00BA3CFB" w:rsidRPr="00BA3CFB" w:rsidRDefault="00000000">
      <w:pPr>
        <w:pStyle w:val="Obsah1"/>
        <w:tabs>
          <w:tab w:val="left" w:pos="48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4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2.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Popis řešení slaboproudých instalací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_Toc157691474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2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011B4F0" w14:textId="2A33B866" w:rsidR="00BA3CFB" w:rsidRPr="00BA3CFB" w:rsidRDefault="00000000">
      <w:pPr>
        <w:pStyle w:val="Obsah1"/>
        <w:tabs>
          <w:tab w:val="left" w:pos="48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5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3.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Měření a regulace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_Toc157691475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3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25748F4" w14:textId="12D486D2" w:rsidR="00BA3CFB" w:rsidRPr="00BA3CFB" w:rsidRDefault="00000000">
      <w:pPr>
        <w:pStyle w:val="Obsah2"/>
        <w:tabs>
          <w:tab w:val="left" w:pos="96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6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3.1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Vytápění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_Toc157691476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3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1996BCE4" w14:textId="7A39D693" w:rsidR="00BA3CFB" w:rsidRPr="00BA3CFB" w:rsidRDefault="00000000">
      <w:pPr>
        <w:pStyle w:val="Obsah2"/>
        <w:tabs>
          <w:tab w:val="left" w:pos="96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7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3.2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Měření spotřeb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_Toc157691477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3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6D9413B" w14:textId="3EAEBB06" w:rsidR="00BA3CFB" w:rsidRPr="00BA3CFB" w:rsidRDefault="00000000">
      <w:pPr>
        <w:pStyle w:val="Obsah2"/>
        <w:tabs>
          <w:tab w:val="left" w:pos="96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8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3.3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Vzduchotechnika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_Toc157691478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3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17A85C70" w14:textId="053B21CE" w:rsidR="00BA3CFB" w:rsidRPr="00BA3CFB" w:rsidRDefault="00000000">
      <w:pPr>
        <w:pStyle w:val="Obsah1"/>
        <w:tabs>
          <w:tab w:val="left" w:pos="48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79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4.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Rozvody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_Toc157691479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5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30EEECA9" w14:textId="221162A6" w:rsidR="00BA3CFB" w:rsidRPr="00BA3CFB" w:rsidRDefault="00000000">
      <w:pPr>
        <w:pStyle w:val="Obsah1"/>
        <w:tabs>
          <w:tab w:val="left" w:pos="48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80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5.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Soupis použitých norem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_Toc157691480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6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8F9DD2B" w14:textId="230481A2" w:rsidR="00BA3CFB" w:rsidRPr="00BA3CFB" w:rsidRDefault="00000000">
      <w:pPr>
        <w:pStyle w:val="Obsah1"/>
        <w:tabs>
          <w:tab w:val="left" w:pos="480"/>
          <w:tab w:val="right" w:leader="dot" w:pos="9060"/>
        </w:tabs>
        <w:rPr>
          <w:rFonts w:asciiTheme="majorHAnsi" w:eastAsiaTheme="minorEastAsia" w:hAnsiTheme="majorHAnsi" w:cstheme="majorHAnsi"/>
          <w:noProof/>
          <w:kern w:val="2"/>
          <w:sz w:val="22"/>
          <w:szCs w:val="22"/>
          <w14:ligatures w14:val="standardContextual"/>
        </w:rPr>
      </w:pPr>
      <w:hyperlink w:anchor="_Toc157691481" w:history="1"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6.</w:t>
        </w:r>
        <w:r w:rsidR="00BA3CFB" w:rsidRPr="00BA3CFB">
          <w:rPr>
            <w:rFonts w:asciiTheme="majorHAnsi" w:eastAsiaTheme="minorEastAsia" w:hAnsiTheme="majorHAnsi" w:cstheme="majorHAnsi"/>
            <w:noProof/>
            <w:kern w:val="2"/>
            <w:sz w:val="22"/>
            <w:szCs w:val="22"/>
            <w14:ligatures w14:val="standardContextual"/>
          </w:rPr>
          <w:tab/>
        </w:r>
        <w:r w:rsidR="00BA3CFB" w:rsidRPr="00BA3CFB">
          <w:rPr>
            <w:rStyle w:val="Hypertextovodkaz"/>
            <w:rFonts w:asciiTheme="majorHAnsi" w:hAnsiTheme="majorHAnsi" w:cstheme="majorHAnsi"/>
            <w:smallCaps/>
            <w:noProof/>
          </w:rPr>
          <w:t>Bezpečnost práce</w:t>
        </w:r>
        <w:r w:rsidR="00BA3CFB" w:rsidRPr="00BA3CFB">
          <w:rPr>
            <w:rFonts w:asciiTheme="majorHAnsi" w:hAnsiTheme="majorHAnsi" w:cstheme="majorHAnsi"/>
            <w:noProof/>
            <w:webHidden/>
          </w:rPr>
          <w:tab/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begin"/>
        </w:r>
        <w:r w:rsidR="00BA3CFB" w:rsidRPr="00BA3CFB">
          <w:rPr>
            <w:rFonts w:asciiTheme="majorHAnsi" w:hAnsiTheme="majorHAnsi" w:cstheme="majorHAnsi"/>
            <w:noProof/>
            <w:webHidden/>
          </w:rPr>
          <w:instrText xml:space="preserve"> PAGEREF _Toc157691481 \h </w:instrText>
        </w:r>
        <w:r w:rsidR="00BA3CFB" w:rsidRPr="00BA3CFB">
          <w:rPr>
            <w:rFonts w:asciiTheme="majorHAnsi" w:hAnsiTheme="majorHAnsi" w:cstheme="majorHAnsi"/>
            <w:noProof/>
            <w:webHidden/>
          </w:rPr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separate"/>
        </w:r>
        <w:r w:rsidR="00BA3CFB" w:rsidRPr="00BA3CFB">
          <w:rPr>
            <w:rFonts w:asciiTheme="majorHAnsi" w:hAnsiTheme="majorHAnsi" w:cstheme="majorHAnsi"/>
            <w:noProof/>
            <w:webHidden/>
          </w:rPr>
          <w:t>7</w:t>
        </w:r>
        <w:r w:rsidR="00BA3CFB" w:rsidRPr="00BA3CFB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B7FE118" w14:textId="04A6A94B" w:rsidR="00E80C9A" w:rsidRPr="00BD0779" w:rsidRDefault="00E80C9A" w:rsidP="00E80C9A">
      <w:pPr>
        <w:jc w:val="both"/>
        <w:rPr>
          <w:rFonts w:ascii="Calibri Light" w:hAnsi="Calibri Light" w:cs="Calibri Light"/>
        </w:rPr>
      </w:pPr>
      <w:r w:rsidRPr="00164247">
        <w:rPr>
          <w:rFonts w:asciiTheme="majorHAnsi" w:hAnsiTheme="majorHAnsi" w:cstheme="majorHAnsi"/>
        </w:rPr>
        <w:fldChar w:fldCharType="end"/>
      </w:r>
    </w:p>
    <w:p w14:paraId="03EB25E5" w14:textId="77777777" w:rsidR="00E80C9A" w:rsidRPr="00BD0779" w:rsidRDefault="00E80C9A" w:rsidP="00E80C9A">
      <w:pPr>
        <w:jc w:val="both"/>
        <w:rPr>
          <w:rFonts w:ascii="Calibri Light" w:hAnsi="Calibri Light" w:cs="Calibri Light"/>
        </w:rPr>
      </w:pPr>
    </w:p>
    <w:p w14:paraId="6F19834D" w14:textId="5E66824F" w:rsidR="00E80C9A" w:rsidRDefault="00E80C9A" w:rsidP="00E80C9A">
      <w:pPr>
        <w:jc w:val="both"/>
        <w:rPr>
          <w:rFonts w:ascii="Calibri" w:hAnsi="Calibri"/>
        </w:rPr>
      </w:pPr>
    </w:p>
    <w:p w14:paraId="1DA1F482" w14:textId="77777777" w:rsidR="00164247" w:rsidRDefault="00164247" w:rsidP="00E80C9A">
      <w:pPr>
        <w:jc w:val="both"/>
        <w:rPr>
          <w:rFonts w:ascii="Calibri" w:hAnsi="Calibri"/>
        </w:rPr>
      </w:pPr>
    </w:p>
    <w:p w14:paraId="52F90DB9" w14:textId="77777777" w:rsidR="003F6D40" w:rsidRDefault="003F6D40" w:rsidP="00E80C9A">
      <w:pPr>
        <w:jc w:val="both"/>
        <w:rPr>
          <w:rFonts w:ascii="Calibri" w:hAnsi="Calibri"/>
        </w:rPr>
      </w:pPr>
    </w:p>
    <w:p w14:paraId="5A26B769" w14:textId="77777777" w:rsidR="003F6D40" w:rsidRDefault="003F6D40" w:rsidP="00E80C9A">
      <w:pPr>
        <w:jc w:val="both"/>
        <w:rPr>
          <w:rFonts w:ascii="Calibri" w:hAnsi="Calibri"/>
        </w:rPr>
      </w:pPr>
    </w:p>
    <w:p w14:paraId="199800B2" w14:textId="77777777" w:rsidR="003F6D40" w:rsidRDefault="003F6D40" w:rsidP="00E80C9A">
      <w:pPr>
        <w:jc w:val="both"/>
        <w:rPr>
          <w:rFonts w:ascii="Calibri" w:hAnsi="Calibri"/>
        </w:rPr>
      </w:pPr>
    </w:p>
    <w:p w14:paraId="2248679F" w14:textId="77777777" w:rsidR="003F6D40" w:rsidRDefault="003F6D40" w:rsidP="00E80C9A">
      <w:pPr>
        <w:jc w:val="both"/>
        <w:rPr>
          <w:rFonts w:ascii="Calibri" w:hAnsi="Calibri"/>
        </w:rPr>
      </w:pPr>
    </w:p>
    <w:p w14:paraId="1DB5C3E6" w14:textId="77777777" w:rsidR="003F6D40" w:rsidRDefault="003F6D40" w:rsidP="00E80C9A">
      <w:pPr>
        <w:jc w:val="both"/>
        <w:rPr>
          <w:rFonts w:ascii="Calibri" w:hAnsi="Calibri"/>
        </w:rPr>
      </w:pPr>
    </w:p>
    <w:p w14:paraId="01C34A98" w14:textId="77777777" w:rsidR="003F6D40" w:rsidRDefault="003F6D40" w:rsidP="00E80C9A">
      <w:pPr>
        <w:jc w:val="both"/>
        <w:rPr>
          <w:rFonts w:ascii="Calibri" w:hAnsi="Calibri"/>
        </w:rPr>
      </w:pPr>
    </w:p>
    <w:p w14:paraId="7FFE7744" w14:textId="77777777" w:rsidR="003F6D40" w:rsidRDefault="003F6D40" w:rsidP="00E80C9A">
      <w:pPr>
        <w:jc w:val="both"/>
        <w:rPr>
          <w:rFonts w:ascii="Calibri" w:hAnsi="Calibri"/>
        </w:rPr>
      </w:pPr>
    </w:p>
    <w:p w14:paraId="0B483F1A" w14:textId="77777777" w:rsidR="003F6D40" w:rsidRDefault="003F6D40" w:rsidP="00E80C9A">
      <w:pPr>
        <w:jc w:val="both"/>
        <w:rPr>
          <w:rFonts w:ascii="Calibri" w:hAnsi="Calibri"/>
        </w:rPr>
      </w:pPr>
    </w:p>
    <w:p w14:paraId="190F8967" w14:textId="77777777" w:rsidR="003F6D40" w:rsidRDefault="003F6D40" w:rsidP="00E80C9A">
      <w:pPr>
        <w:jc w:val="both"/>
        <w:rPr>
          <w:rFonts w:ascii="Calibri" w:hAnsi="Calibri"/>
        </w:rPr>
      </w:pPr>
    </w:p>
    <w:p w14:paraId="7E7D45D7" w14:textId="77777777" w:rsidR="003F6D40" w:rsidRDefault="003F6D40" w:rsidP="00E80C9A">
      <w:pPr>
        <w:jc w:val="both"/>
        <w:rPr>
          <w:rFonts w:ascii="Calibri" w:hAnsi="Calibri"/>
        </w:rPr>
      </w:pPr>
    </w:p>
    <w:p w14:paraId="40CF1B42" w14:textId="77777777" w:rsidR="00E80C9A" w:rsidRDefault="00E80C9A" w:rsidP="00E80C9A">
      <w:pPr>
        <w:jc w:val="both"/>
        <w:rPr>
          <w:rFonts w:ascii="Calibri" w:hAnsi="Calibri"/>
        </w:rPr>
      </w:pPr>
    </w:p>
    <w:p w14:paraId="5BAE4976" w14:textId="77777777" w:rsidR="00E80C9A" w:rsidRPr="00E80C9A" w:rsidRDefault="00E80C9A" w:rsidP="00E80C9A">
      <w:pPr>
        <w:pStyle w:val="Nadpis1"/>
        <w:keepLines/>
        <w:numPr>
          <w:ilvl w:val="0"/>
          <w:numId w:val="9"/>
        </w:numPr>
        <w:pBdr>
          <w:bottom w:val="single" w:sz="4" w:space="1" w:color="595959"/>
        </w:pBdr>
        <w:tabs>
          <w:tab w:val="clear" w:pos="432"/>
          <w:tab w:val="num" w:pos="690"/>
        </w:tabs>
        <w:spacing w:before="360" w:after="160" w:line="276" w:lineRule="auto"/>
        <w:ind w:left="690" w:hanging="360"/>
        <w:jc w:val="left"/>
        <w:rPr>
          <w:rFonts w:asciiTheme="majorHAnsi" w:hAnsiTheme="majorHAnsi" w:cstheme="majorHAnsi"/>
          <w:bCs/>
          <w:smallCaps/>
          <w:color w:val="000000"/>
          <w:sz w:val="36"/>
          <w:szCs w:val="36"/>
        </w:rPr>
      </w:pPr>
      <w:bookmarkStart w:id="0" w:name="_Toc157691471"/>
      <w:r w:rsidRPr="00E80C9A"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lastRenderedPageBreak/>
        <w:t>Technické a provozní údaje</w:t>
      </w:r>
      <w:bookmarkEnd w:id="0"/>
    </w:p>
    <w:p w14:paraId="48450949" w14:textId="77777777" w:rsidR="00E80C9A" w:rsidRDefault="00E80C9A" w:rsidP="00E80C9A">
      <w:pPr>
        <w:spacing w:line="240" w:lineRule="auto"/>
        <w:jc w:val="both"/>
        <w:rPr>
          <w:rFonts w:ascii="Calibri" w:hAnsi="Calibri"/>
        </w:rPr>
      </w:pPr>
    </w:p>
    <w:p w14:paraId="1B82120F" w14:textId="732A5130" w:rsidR="00E80C9A" w:rsidRPr="00B75FA5" w:rsidRDefault="00E80C9A" w:rsidP="00E80C9A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B75FA5">
        <w:rPr>
          <w:rFonts w:ascii="Calibri Light" w:eastAsia="Calibri" w:hAnsi="Calibri Light" w:cs="Calibri Light"/>
          <w:szCs w:val="24"/>
          <w:lang w:eastAsia="en-US"/>
        </w:rPr>
        <w:t xml:space="preserve">Předmětem tohoto projektu je </w:t>
      </w:r>
      <w:r>
        <w:rPr>
          <w:rFonts w:ascii="Calibri Light" w:eastAsia="Calibri" w:hAnsi="Calibri Light" w:cs="Calibri Light"/>
          <w:szCs w:val="24"/>
          <w:lang w:eastAsia="en-US"/>
        </w:rPr>
        <w:t>„</w:t>
      </w:r>
      <w:r w:rsidR="005346C0" w:rsidRPr="005346C0">
        <w:rPr>
          <w:rFonts w:ascii="Calibri Light" w:eastAsia="Calibri" w:hAnsi="Calibri Light" w:cs="Calibri Light"/>
          <w:szCs w:val="24"/>
          <w:lang w:eastAsia="en-US"/>
        </w:rPr>
        <w:t>Rekonstrukce interiéru radnice ve Žďáru nad Sázavou</w:t>
      </w:r>
      <w:r>
        <w:rPr>
          <w:rFonts w:ascii="Calibri Light" w:eastAsia="Calibri" w:hAnsi="Calibri Light" w:cs="Calibri Light"/>
          <w:szCs w:val="24"/>
          <w:lang w:eastAsia="en-US"/>
        </w:rPr>
        <w:t>“</w:t>
      </w:r>
      <w:r w:rsidR="0013209A">
        <w:rPr>
          <w:rFonts w:ascii="Calibri Light" w:eastAsia="Calibri" w:hAnsi="Calibri Light" w:cs="Calibri Light"/>
          <w:szCs w:val="24"/>
          <w:lang w:eastAsia="en-US"/>
        </w:rPr>
        <w:t xml:space="preserve"> </w:t>
      </w:r>
    </w:p>
    <w:p w14:paraId="67FB8970" w14:textId="77777777" w:rsidR="00E80C9A" w:rsidRPr="00B75FA5" w:rsidRDefault="00E80C9A" w:rsidP="00E80C9A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B75FA5">
        <w:rPr>
          <w:rFonts w:ascii="Calibri Light" w:eastAsia="Calibri" w:hAnsi="Calibri Light" w:cs="Calibri Light"/>
          <w:szCs w:val="24"/>
          <w:lang w:eastAsia="en-US"/>
        </w:rPr>
        <w:t>Stavba je vyvolaná požadavkem investora. Elektrická zařízení budou instalována dle požadavků zadání a navržené řešení vychází z dostupných podkladů a informací v době zpracování projektu.</w:t>
      </w:r>
    </w:p>
    <w:p w14:paraId="37D46C2C" w14:textId="7376BB6D" w:rsidR="00E80C9A" w:rsidRPr="00B75FA5" w:rsidRDefault="00E80C9A" w:rsidP="00E80C9A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B75FA5">
        <w:rPr>
          <w:rFonts w:ascii="Calibri Light" w:eastAsia="Calibri" w:hAnsi="Calibri Light" w:cs="Calibri Light"/>
          <w:szCs w:val="24"/>
          <w:lang w:eastAsia="en-US"/>
        </w:rPr>
        <w:t xml:space="preserve">Tato dokumentace je zpracována ve stupni dokumentace pro </w:t>
      </w:r>
      <w:r w:rsidR="00642057">
        <w:rPr>
          <w:rFonts w:ascii="Calibri Light" w:eastAsia="Calibri" w:hAnsi="Calibri Light" w:cs="Calibri Light"/>
          <w:szCs w:val="24"/>
          <w:lang w:eastAsia="en-US"/>
        </w:rPr>
        <w:t>provedení stavby</w:t>
      </w:r>
      <w:r w:rsidRPr="00B75FA5">
        <w:rPr>
          <w:rFonts w:ascii="Calibri Light" w:eastAsia="Calibri" w:hAnsi="Calibri Light" w:cs="Calibri Light"/>
          <w:szCs w:val="24"/>
          <w:lang w:eastAsia="en-US"/>
        </w:rPr>
        <w:t xml:space="preserve"> a obsahuje požadované náležitosti dle zákona č. 183/2006 Sb., o územním plánování a stavebním řádu, ve znění pozdějších předpisů</w:t>
      </w:r>
      <w:r>
        <w:rPr>
          <w:rFonts w:ascii="Calibri Light" w:eastAsia="Calibri" w:hAnsi="Calibri Light" w:cs="Calibri Light"/>
          <w:szCs w:val="24"/>
          <w:lang w:eastAsia="en-US"/>
        </w:rPr>
        <w:t xml:space="preserve"> </w:t>
      </w:r>
      <w:r w:rsidRPr="00B75FA5">
        <w:rPr>
          <w:rFonts w:ascii="Calibri Light" w:eastAsia="Calibri" w:hAnsi="Calibri Light" w:cs="Calibri Light"/>
          <w:szCs w:val="24"/>
          <w:lang w:eastAsia="en-US"/>
        </w:rPr>
        <w:t>a náležitosti dle vyhlášky č. 499/2006 Sb., o dokumentaci staveb, ve znění pozdějších</w:t>
      </w:r>
      <w:r>
        <w:rPr>
          <w:rFonts w:ascii="Calibri Light" w:eastAsia="Calibri" w:hAnsi="Calibri Light" w:cs="Calibri Light"/>
          <w:szCs w:val="24"/>
          <w:lang w:eastAsia="en-US"/>
        </w:rPr>
        <w:t xml:space="preserve"> </w:t>
      </w:r>
      <w:r w:rsidR="0013209A">
        <w:rPr>
          <w:rFonts w:ascii="Calibri Light" w:eastAsia="Calibri" w:hAnsi="Calibri Light" w:cs="Calibri Light"/>
          <w:szCs w:val="24"/>
          <w:lang w:eastAsia="en-US"/>
        </w:rPr>
        <w:t>předpisů</w:t>
      </w:r>
      <w:r>
        <w:rPr>
          <w:rFonts w:ascii="Calibri Light" w:eastAsia="Calibri" w:hAnsi="Calibri Light" w:cs="Calibri Light"/>
          <w:szCs w:val="24"/>
          <w:lang w:eastAsia="en-US"/>
        </w:rPr>
        <w:t>.</w:t>
      </w:r>
    </w:p>
    <w:p w14:paraId="6B46AFB2" w14:textId="36E20063" w:rsidR="00E80C9A" w:rsidRPr="00E80C9A" w:rsidRDefault="001614CA" w:rsidP="00E80C9A">
      <w:pPr>
        <w:pStyle w:val="Nadpis2"/>
        <w:keepLines/>
        <w:numPr>
          <w:ilvl w:val="1"/>
          <w:numId w:val="9"/>
        </w:numPr>
        <w:tabs>
          <w:tab w:val="clear" w:pos="576"/>
          <w:tab w:val="num" w:pos="690"/>
        </w:tabs>
        <w:spacing w:before="360" w:line="276" w:lineRule="auto"/>
        <w:ind w:left="690" w:hanging="360"/>
        <w:jc w:val="left"/>
        <w:rPr>
          <w:rFonts w:asciiTheme="majorHAnsi" w:hAnsiTheme="majorHAnsi" w:cstheme="majorHAnsi"/>
          <w:b/>
          <w:smallCap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 xml:space="preserve"> </w:t>
      </w:r>
      <w:bookmarkStart w:id="1" w:name="_Toc157691472"/>
      <w:r w:rsidR="00E80C9A" w:rsidRPr="00E80C9A"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>Základní údaje</w:t>
      </w:r>
      <w:bookmarkEnd w:id="1"/>
    </w:p>
    <w:p w14:paraId="11CF2618" w14:textId="77777777" w:rsidR="00E80C9A" w:rsidRDefault="00E80C9A" w:rsidP="00E80C9A">
      <w:pPr>
        <w:spacing w:line="240" w:lineRule="auto"/>
        <w:jc w:val="both"/>
        <w:rPr>
          <w:rFonts w:ascii="Calibri Light" w:hAnsi="Calibri Light" w:cs="Calibri Light"/>
        </w:rPr>
      </w:pPr>
    </w:p>
    <w:p w14:paraId="297F427E" w14:textId="504F7266" w:rsidR="0013209A" w:rsidRDefault="00312130" w:rsidP="00E80C9A">
      <w:pPr>
        <w:spacing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Napájecí rozvody silnoproud</w:t>
      </w:r>
      <w:r w:rsidR="00E80C9A">
        <w:rPr>
          <w:rFonts w:ascii="Calibri Light" w:hAnsi="Calibri Light" w:cs="Calibri Light"/>
        </w:rPr>
        <w:tab/>
      </w:r>
      <w:r w:rsidR="00E80C9A">
        <w:rPr>
          <w:rFonts w:ascii="Calibri Light" w:hAnsi="Calibri Light" w:cs="Calibri Light"/>
        </w:rPr>
        <w:tab/>
      </w:r>
      <w:r w:rsidR="00E80C9A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="00E80C9A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>1/N/PE, AC, 230V, 50Hz, TN-S</w:t>
      </w:r>
    </w:p>
    <w:p w14:paraId="21BB2DAA" w14:textId="12E4A061" w:rsidR="00E80C9A" w:rsidRDefault="00312130" w:rsidP="00E80C9A">
      <w:pPr>
        <w:spacing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Slaboproudé rozvody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="00E80C9A" w:rsidRPr="003555D7">
        <w:rPr>
          <w:rFonts w:ascii="Calibri Light" w:hAnsi="Calibri Light" w:cs="Calibri Light"/>
        </w:rPr>
        <w:tab/>
      </w:r>
      <w:r w:rsidR="00E80C9A" w:rsidRPr="003555D7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="00E80C9A" w:rsidRPr="003555D7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>1</w:t>
      </w:r>
      <w:r w:rsidR="00E80C9A" w:rsidRPr="003555D7">
        <w:rPr>
          <w:rFonts w:ascii="Calibri Light" w:hAnsi="Calibri Light" w:cs="Calibri Light"/>
        </w:rPr>
        <w:t>/N/PE, AC, 230V,</w:t>
      </w:r>
      <w:r>
        <w:rPr>
          <w:rFonts w:ascii="Calibri Light" w:hAnsi="Calibri Light" w:cs="Calibri Light"/>
        </w:rPr>
        <w:t xml:space="preserve"> 50Hz,</w:t>
      </w:r>
      <w:r w:rsidR="00E80C9A" w:rsidRPr="003555D7">
        <w:rPr>
          <w:rFonts w:ascii="Calibri Light" w:hAnsi="Calibri Light" w:cs="Calibri Light"/>
        </w:rPr>
        <w:t xml:space="preserve"> TN</w:t>
      </w:r>
      <w:r w:rsidR="00E80C9A">
        <w:rPr>
          <w:rFonts w:ascii="Calibri Light" w:hAnsi="Calibri Light" w:cs="Calibri Light"/>
        </w:rPr>
        <w:t>-</w:t>
      </w:r>
      <w:r w:rsidR="00E80C9A" w:rsidRPr="003555D7">
        <w:rPr>
          <w:rFonts w:ascii="Calibri Light" w:hAnsi="Calibri Light" w:cs="Calibri Light"/>
        </w:rPr>
        <w:t>S</w:t>
      </w:r>
    </w:p>
    <w:p w14:paraId="5ED7DA53" w14:textId="77777777" w:rsidR="00312130" w:rsidRPr="00312130" w:rsidRDefault="00312130" w:rsidP="00312130">
      <w:pPr>
        <w:spacing w:line="240" w:lineRule="auto"/>
        <w:jc w:val="both"/>
        <w:rPr>
          <w:rFonts w:ascii="Calibri Light" w:hAnsi="Calibri Light" w:cs="Calibri Light"/>
        </w:rPr>
      </w:pPr>
      <w:r w:rsidRPr="00312130">
        <w:rPr>
          <w:rFonts w:ascii="Calibri Light" w:hAnsi="Calibri Light" w:cs="Calibri Light"/>
        </w:rPr>
        <w:t xml:space="preserve">Ochranná opatření pro zajištění bezpečnosti </w:t>
      </w:r>
      <w:r w:rsidRPr="00312130">
        <w:rPr>
          <w:rFonts w:ascii="Calibri Light" w:hAnsi="Calibri Light" w:cs="Calibri Light"/>
        </w:rPr>
        <w:tab/>
        <w:t>: základní</w:t>
      </w:r>
    </w:p>
    <w:p w14:paraId="6030FD08" w14:textId="22EC84C3" w:rsidR="00312130" w:rsidRDefault="00312130" w:rsidP="00312130">
      <w:pPr>
        <w:spacing w:line="240" w:lineRule="auto"/>
        <w:jc w:val="both"/>
        <w:rPr>
          <w:rFonts w:ascii="Calibri Light" w:hAnsi="Calibri Light" w:cs="Calibri Light"/>
        </w:rPr>
      </w:pPr>
      <w:r w:rsidRPr="00312130">
        <w:rPr>
          <w:rFonts w:ascii="Calibri Light" w:hAnsi="Calibri Light" w:cs="Calibri Light"/>
        </w:rPr>
        <w:t>Ochrana před úrazem elektrickým proudem podle ČSN 33 2000-4-41 ed. automatickým odpojením od zdroje jističi</w:t>
      </w:r>
    </w:p>
    <w:p w14:paraId="44AB50B3" w14:textId="77777777" w:rsidR="00312130" w:rsidRDefault="00312130" w:rsidP="00E80C9A">
      <w:pPr>
        <w:spacing w:line="240" w:lineRule="auto"/>
        <w:jc w:val="both"/>
        <w:rPr>
          <w:rFonts w:ascii="Calibri Light" w:hAnsi="Calibri Light" w:cs="Calibri Light"/>
        </w:rPr>
      </w:pPr>
    </w:p>
    <w:p w14:paraId="7FD81DEC" w14:textId="2E485746" w:rsidR="00E80C9A" w:rsidRPr="00164247" w:rsidRDefault="00F23A69" w:rsidP="00E80C9A">
      <w:pPr>
        <w:pStyle w:val="Nadpis2"/>
        <w:keepLines/>
        <w:numPr>
          <w:ilvl w:val="1"/>
          <w:numId w:val="9"/>
        </w:numPr>
        <w:tabs>
          <w:tab w:val="clear" w:pos="576"/>
          <w:tab w:val="num" w:pos="690"/>
        </w:tabs>
        <w:spacing w:before="360" w:line="276" w:lineRule="auto"/>
        <w:ind w:left="690" w:hanging="360"/>
        <w:jc w:val="left"/>
        <w:rPr>
          <w:rFonts w:asciiTheme="majorHAnsi" w:hAnsiTheme="majorHAnsi" w:cstheme="majorHAnsi"/>
          <w:b/>
          <w:smallCap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 xml:space="preserve"> </w:t>
      </w:r>
      <w:bookmarkStart w:id="2" w:name="_Toc157691473"/>
      <w:r w:rsidR="00E80C9A" w:rsidRPr="00E80C9A"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>Určení vnějších vlivů</w:t>
      </w:r>
      <w:bookmarkEnd w:id="2"/>
    </w:p>
    <w:p w14:paraId="2100F46D" w14:textId="77777777" w:rsidR="00E80C9A" w:rsidRDefault="00E80C9A" w:rsidP="00E80C9A">
      <w:pPr>
        <w:spacing w:line="240" w:lineRule="auto"/>
        <w:jc w:val="both"/>
        <w:rPr>
          <w:rFonts w:ascii="Calibri Light" w:hAnsi="Calibri Light" w:cs="Calibri Light"/>
        </w:rPr>
      </w:pPr>
      <w:r w:rsidRPr="003555D7">
        <w:rPr>
          <w:rFonts w:ascii="Calibri Light" w:hAnsi="Calibri Light" w:cs="Calibri Light"/>
        </w:rPr>
        <w:tab/>
      </w:r>
    </w:p>
    <w:p w14:paraId="3CADBFA8" w14:textId="192F1B00" w:rsidR="00E80C9A" w:rsidRPr="00A22809" w:rsidRDefault="00E80C9A" w:rsidP="00E80C9A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A22809">
        <w:rPr>
          <w:rFonts w:ascii="Calibri Light" w:eastAsia="Calibri" w:hAnsi="Calibri Light" w:cs="Calibri Light"/>
          <w:szCs w:val="24"/>
          <w:lang w:eastAsia="en-US"/>
        </w:rPr>
        <w:t>Všechny vnitřní prostory objektu jsou z hlediska nebezpečí úrazu elektrickým proudem klasifikovány dle ČSN 33 2000-</w:t>
      </w:r>
      <w:r w:rsidR="00164247">
        <w:rPr>
          <w:rFonts w:ascii="Calibri Light" w:eastAsia="Calibri" w:hAnsi="Calibri Light" w:cs="Calibri Light"/>
          <w:szCs w:val="24"/>
          <w:lang w:eastAsia="en-US"/>
        </w:rPr>
        <w:t>5</w:t>
      </w:r>
      <w:r w:rsidRPr="00A22809">
        <w:rPr>
          <w:rFonts w:ascii="Calibri Light" w:eastAsia="Calibri" w:hAnsi="Calibri Light" w:cs="Calibri Light"/>
          <w:szCs w:val="24"/>
          <w:lang w:eastAsia="en-US"/>
        </w:rPr>
        <w:t>-</w:t>
      </w:r>
      <w:r w:rsidR="00164247">
        <w:rPr>
          <w:rFonts w:ascii="Calibri Light" w:eastAsia="Calibri" w:hAnsi="Calibri Light" w:cs="Calibri Light"/>
          <w:szCs w:val="24"/>
          <w:lang w:eastAsia="en-US"/>
        </w:rPr>
        <w:t>5</w:t>
      </w:r>
      <w:r w:rsidRPr="00A22809">
        <w:rPr>
          <w:rFonts w:ascii="Calibri Light" w:eastAsia="Calibri" w:hAnsi="Calibri Light" w:cs="Calibri Light"/>
          <w:szCs w:val="24"/>
          <w:lang w:eastAsia="en-US"/>
        </w:rPr>
        <w:t>1 ed. </w:t>
      </w:r>
      <w:r w:rsidR="00164247">
        <w:rPr>
          <w:rFonts w:ascii="Calibri Light" w:eastAsia="Calibri" w:hAnsi="Calibri Light" w:cs="Calibri Light"/>
          <w:szCs w:val="24"/>
          <w:lang w:eastAsia="en-US"/>
        </w:rPr>
        <w:t>3</w:t>
      </w:r>
      <w:r w:rsidRPr="00A22809">
        <w:rPr>
          <w:rFonts w:ascii="Calibri Light" w:eastAsia="Calibri" w:hAnsi="Calibri Light" w:cs="Calibri Light"/>
          <w:szCs w:val="24"/>
          <w:lang w:eastAsia="en-US"/>
        </w:rPr>
        <w:t xml:space="preserve"> jako prostory normální.</w:t>
      </w:r>
    </w:p>
    <w:p w14:paraId="1D481BE6" w14:textId="3AF91A99" w:rsidR="00E80C9A" w:rsidRPr="00E80C9A" w:rsidRDefault="001732D6" w:rsidP="00E80C9A">
      <w:pPr>
        <w:pStyle w:val="Nadpis1"/>
        <w:keepLines/>
        <w:numPr>
          <w:ilvl w:val="0"/>
          <w:numId w:val="9"/>
        </w:numPr>
        <w:pBdr>
          <w:bottom w:val="single" w:sz="4" w:space="1" w:color="595959"/>
        </w:pBdr>
        <w:tabs>
          <w:tab w:val="clear" w:pos="432"/>
          <w:tab w:val="num" w:pos="690"/>
        </w:tabs>
        <w:spacing w:before="360" w:after="160" w:line="276" w:lineRule="auto"/>
        <w:ind w:left="690" w:hanging="360"/>
        <w:jc w:val="left"/>
        <w:rPr>
          <w:rFonts w:asciiTheme="majorHAnsi" w:hAnsiTheme="majorHAnsi" w:cstheme="majorHAnsi"/>
          <w:bCs/>
          <w:smallCaps/>
          <w:color w:val="000000"/>
          <w:sz w:val="36"/>
          <w:szCs w:val="36"/>
        </w:rPr>
      </w:pPr>
      <w:bookmarkStart w:id="3" w:name="_Toc157691474"/>
      <w:r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t>Popis řešení slaboproudých instalací</w:t>
      </w:r>
      <w:bookmarkEnd w:id="3"/>
    </w:p>
    <w:p w14:paraId="7EE5B440" w14:textId="6BFA44D5" w:rsidR="001732D6" w:rsidRPr="001732D6" w:rsidRDefault="00E80C9A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Datové připojení bude provedeno jako pozemní, kdy dojde k napojení na stávající pozemní síť</w:t>
      </w:r>
      <w:r w:rsidR="00A92085" w:rsidRPr="001732D6">
        <w:rPr>
          <w:rFonts w:ascii="Calibri Light" w:eastAsia="Calibri" w:hAnsi="Calibri Light" w:cs="Calibri Light"/>
          <w:szCs w:val="24"/>
          <w:lang w:eastAsia="en-US"/>
        </w:rPr>
        <w:t>.</w:t>
      </w:r>
      <w:r w:rsidRPr="001732D6">
        <w:rPr>
          <w:rFonts w:ascii="Calibri Light" w:eastAsia="Calibri" w:hAnsi="Calibri Light" w:cs="Calibri Light"/>
          <w:szCs w:val="24"/>
          <w:lang w:eastAsia="en-US"/>
        </w:rPr>
        <w:t xml:space="preserve"> Z napojovací skříně MIS bude veden kabel do datového rozvaděče R</w:t>
      </w:r>
      <w:r w:rsidR="00A92085" w:rsidRPr="001732D6">
        <w:rPr>
          <w:rFonts w:ascii="Calibri Light" w:eastAsia="Calibri" w:hAnsi="Calibri Light" w:cs="Calibri Light"/>
          <w:szCs w:val="24"/>
          <w:lang w:eastAsia="en-US"/>
        </w:rPr>
        <w:t>ACK</w:t>
      </w:r>
      <w:r w:rsidRPr="001732D6">
        <w:rPr>
          <w:rFonts w:ascii="Calibri Light" w:eastAsia="Calibri" w:hAnsi="Calibri Light" w:cs="Calibri Light"/>
          <w:szCs w:val="24"/>
          <w:lang w:eastAsia="en-US"/>
        </w:rPr>
        <w:t>, který bude umístěn</w:t>
      </w:r>
      <w:r w:rsidR="000459A6" w:rsidRPr="001732D6">
        <w:rPr>
          <w:rFonts w:ascii="Calibri Light" w:eastAsia="Calibri" w:hAnsi="Calibri Light" w:cs="Calibri Light"/>
          <w:szCs w:val="24"/>
          <w:lang w:eastAsia="en-US"/>
        </w:rPr>
        <w:t xml:space="preserve"> </w:t>
      </w:r>
      <w:r w:rsidR="00A92085" w:rsidRPr="001732D6">
        <w:rPr>
          <w:rFonts w:ascii="Calibri Light" w:eastAsia="Calibri" w:hAnsi="Calibri Light" w:cs="Calibri Light"/>
          <w:szCs w:val="24"/>
          <w:lang w:eastAsia="en-US"/>
        </w:rPr>
        <w:t>v</w:t>
      </w:r>
      <w:r w:rsidR="008928A9" w:rsidRPr="001732D6">
        <w:rPr>
          <w:rFonts w:ascii="Calibri Light" w:eastAsia="Calibri" w:hAnsi="Calibri Light" w:cs="Calibri Light"/>
          <w:szCs w:val="24"/>
          <w:lang w:eastAsia="en-US"/>
        </w:rPr>
        <w:t xml:space="preserve"> denní </w:t>
      </w:r>
      <w:r w:rsidR="00A92085" w:rsidRPr="001732D6">
        <w:rPr>
          <w:rFonts w:ascii="Calibri Light" w:eastAsia="Calibri" w:hAnsi="Calibri Light" w:cs="Calibri Light"/>
          <w:szCs w:val="24"/>
          <w:lang w:eastAsia="en-US"/>
        </w:rPr>
        <w:t>místnosti.</w:t>
      </w:r>
      <w:r w:rsidR="001732D6" w:rsidRPr="001732D6">
        <w:rPr>
          <w:rFonts w:ascii="Calibri Light" w:eastAsia="Calibri" w:hAnsi="Calibri Light" w:cs="Calibri Light"/>
          <w:szCs w:val="24"/>
          <w:lang w:eastAsia="en-US"/>
        </w:rPr>
        <w:t xml:space="preserve"> Z tohoto rozvaděče bude do jednotlivých místností přiveden metalický kabel UTP cat.6. Kabely ukončeny v zásuvkách UTP cat.6 se dvěma porty RJ45. </w:t>
      </w:r>
    </w:p>
    <w:p w14:paraId="16351C49" w14:textId="7B2F7E62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Datové zásuvky budou instalovány na elektroinstalační vícenásobné podomítkové krabice. Design i barva datových zásuvek a rámečků bude sjednocen s přístroji nn. Slaboproudé zásuvky je možné instalovat do společných rámečků se zásuvkami nn.</w:t>
      </w:r>
    </w:p>
    <w:p w14:paraId="04D1FCEE" w14:textId="2046F7D0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Na každém patře se předpokládá instalace WiFi routeru.</w:t>
      </w:r>
      <w:r w:rsidRPr="001732D6">
        <w:t xml:space="preserve"> </w:t>
      </w:r>
      <w:r w:rsidRPr="001732D6">
        <w:rPr>
          <w:rFonts w:ascii="Calibri Light" w:eastAsia="Calibri" w:hAnsi="Calibri Light" w:cs="Calibri Light"/>
          <w:szCs w:val="24"/>
          <w:lang w:eastAsia="en-US"/>
        </w:rPr>
        <w:t>Datová síť bude po instalaci proměřena a jednotlivá měření budou osvědčena certifikačními protokoly o kvalitě instalace v kategorii 6.</w:t>
      </w:r>
    </w:p>
    <w:p w14:paraId="7181A8C9" w14:textId="06E0F554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Napájení datového uzlu ze sítě 230V / 50Hz ze samostatně jištěného vývodu v rozvaděči nn (jištění 10A), kabelem se samostatným ochranným vodičem CYKY-J 3x1,5. Tento napájecí přívod včetně jištění je součástí dodávky silnoproudu.</w:t>
      </w:r>
    </w:p>
    <w:p w14:paraId="723A9B59" w14:textId="08634F18" w:rsidR="00E65F19" w:rsidRPr="001732D6" w:rsidRDefault="000459A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lastRenderedPageBreak/>
        <w:t>V objektu bude instalován</w:t>
      </w:r>
      <w:r w:rsidR="004465BE" w:rsidRPr="001732D6">
        <w:rPr>
          <w:rFonts w:ascii="Calibri Light" w:eastAsia="Calibri" w:hAnsi="Calibri Light" w:cs="Calibri Light"/>
          <w:szCs w:val="24"/>
          <w:lang w:eastAsia="en-US"/>
        </w:rPr>
        <w:t xml:space="preserve"> automatický řídící </w:t>
      </w:r>
      <w:r w:rsidR="00452C5C" w:rsidRPr="001732D6">
        <w:rPr>
          <w:rFonts w:ascii="Calibri Light" w:eastAsia="Calibri" w:hAnsi="Calibri Light" w:cs="Calibri Light"/>
          <w:szCs w:val="24"/>
          <w:lang w:eastAsia="en-US"/>
        </w:rPr>
        <w:t>systém,</w:t>
      </w:r>
      <w:r w:rsidR="004465BE" w:rsidRPr="001732D6">
        <w:rPr>
          <w:rFonts w:ascii="Calibri Light" w:eastAsia="Calibri" w:hAnsi="Calibri Light" w:cs="Calibri Light"/>
          <w:szCs w:val="24"/>
          <w:lang w:eastAsia="en-US"/>
        </w:rPr>
        <w:t xml:space="preserve"> na který budou napojeny jednotlivé komponenty slaboproudých rozvodů. Částmi tohoto systému bude </w:t>
      </w:r>
      <w:r w:rsidRPr="001732D6">
        <w:rPr>
          <w:rFonts w:ascii="Calibri Light" w:eastAsia="Calibri" w:hAnsi="Calibri Light" w:cs="Calibri Light"/>
          <w:szCs w:val="24"/>
          <w:lang w:eastAsia="en-US"/>
        </w:rPr>
        <w:t>kamerový systém</w:t>
      </w:r>
      <w:r w:rsidR="004465BE" w:rsidRPr="001732D6">
        <w:rPr>
          <w:rFonts w:ascii="Calibri Light" w:eastAsia="Calibri" w:hAnsi="Calibri Light" w:cs="Calibri Light"/>
          <w:szCs w:val="24"/>
          <w:lang w:eastAsia="en-US"/>
        </w:rPr>
        <w:t>, pohybová</w:t>
      </w:r>
      <w:r w:rsidR="00B0158C" w:rsidRPr="001732D6">
        <w:rPr>
          <w:rFonts w:ascii="Calibri Light" w:eastAsia="Calibri" w:hAnsi="Calibri Light" w:cs="Calibri Light"/>
          <w:szCs w:val="24"/>
          <w:lang w:eastAsia="en-US"/>
        </w:rPr>
        <w:t>, magnetická a kouřová</w:t>
      </w:r>
      <w:r w:rsidR="004465BE" w:rsidRPr="001732D6">
        <w:rPr>
          <w:rFonts w:ascii="Calibri Light" w:eastAsia="Calibri" w:hAnsi="Calibri Light" w:cs="Calibri Light"/>
          <w:szCs w:val="24"/>
          <w:lang w:eastAsia="en-US"/>
        </w:rPr>
        <w:t xml:space="preserve"> čidla </w:t>
      </w:r>
      <w:r w:rsidRPr="001732D6">
        <w:rPr>
          <w:rFonts w:ascii="Calibri Light" w:eastAsia="Calibri" w:hAnsi="Calibri Light" w:cs="Calibri Light"/>
          <w:szCs w:val="24"/>
          <w:lang w:eastAsia="en-US"/>
        </w:rPr>
        <w:t>pro monitorování vnitřního prostoru objektu</w:t>
      </w:r>
      <w:r w:rsidR="00B0158C" w:rsidRPr="001732D6">
        <w:rPr>
          <w:rFonts w:ascii="Calibri Light" w:eastAsia="Calibri" w:hAnsi="Calibri Light" w:cs="Calibri Light"/>
          <w:szCs w:val="24"/>
          <w:lang w:eastAsia="en-US"/>
        </w:rPr>
        <w:t>, přístupové klávesnice, ovládání termostatických ventilů topných těles a audio systém včetně reproduktorů</w:t>
      </w:r>
      <w:r w:rsidRPr="001732D6">
        <w:rPr>
          <w:rFonts w:ascii="Calibri Light" w:eastAsia="Calibri" w:hAnsi="Calibri Light" w:cs="Calibri Light"/>
          <w:szCs w:val="24"/>
          <w:lang w:eastAsia="en-US"/>
        </w:rPr>
        <w:t xml:space="preserve">. </w:t>
      </w:r>
    </w:p>
    <w:p w14:paraId="4C3DAE36" w14:textId="64DE0B42" w:rsidR="00164247" w:rsidRDefault="008928A9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V galerii, jednací míst</w:t>
      </w:r>
      <w:r w:rsidR="00164247" w:rsidRPr="001732D6">
        <w:rPr>
          <w:rFonts w:ascii="Calibri Light" w:eastAsia="Calibri" w:hAnsi="Calibri Light" w:cs="Calibri Light"/>
          <w:szCs w:val="24"/>
          <w:lang w:eastAsia="en-US"/>
        </w:rPr>
        <w:t>nosti a místnosti pro TIC bude provedena zatrubkování kabeláže HDMI a VGA pro napojení datových projektorů a TV.</w:t>
      </w:r>
    </w:p>
    <w:p w14:paraId="52DE2500" w14:textId="17D19A54" w:rsidR="00D71F1F" w:rsidRPr="00E80C9A" w:rsidRDefault="00D71F1F" w:rsidP="00D71F1F">
      <w:pPr>
        <w:pStyle w:val="Nadpis1"/>
        <w:keepLines/>
        <w:numPr>
          <w:ilvl w:val="0"/>
          <w:numId w:val="9"/>
        </w:numPr>
        <w:pBdr>
          <w:bottom w:val="single" w:sz="4" w:space="1" w:color="595959"/>
        </w:pBdr>
        <w:tabs>
          <w:tab w:val="clear" w:pos="432"/>
          <w:tab w:val="num" w:pos="690"/>
        </w:tabs>
        <w:spacing w:before="360" w:after="160" w:line="276" w:lineRule="auto"/>
        <w:ind w:left="690" w:hanging="360"/>
        <w:jc w:val="left"/>
        <w:rPr>
          <w:rFonts w:asciiTheme="majorHAnsi" w:hAnsiTheme="majorHAnsi" w:cstheme="majorHAnsi"/>
          <w:bCs/>
          <w:smallCaps/>
          <w:color w:val="000000"/>
          <w:sz w:val="36"/>
          <w:szCs w:val="36"/>
        </w:rPr>
      </w:pPr>
      <w:bookmarkStart w:id="4" w:name="_Toc157691475"/>
      <w:r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t>Měření a regulace</w:t>
      </w:r>
      <w:bookmarkEnd w:id="4"/>
    </w:p>
    <w:p w14:paraId="291B5F66" w14:textId="77777777" w:rsidR="00D71F1F" w:rsidRDefault="00D71F1F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68E3F80B" w14:textId="77777777" w:rsid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>
        <w:rPr>
          <w:rFonts w:ascii="Calibri Light" w:eastAsia="Calibri" w:hAnsi="Calibri Light" w:cs="Calibri Light"/>
          <w:szCs w:val="24"/>
          <w:lang w:eastAsia="en-US"/>
        </w:rPr>
        <w:t>Požadavky jednotlivých technologických částí na ovládání MaR:</w:t>
      </w:r>
    </w:p>
    <w:p w14:paraId="3846E086" w14:textId="72739663" w:rsidR="00D71F1F" w:rsidRDefault="00F23A69" w:rsidP="00F23A69">
      <w:pPr>
        <w:pStyle w:val="Nadpis2"/>
        <w:keepLines/>
        <w:numPr>
          <w:ilvl w:val="1"/>
          <w:numId w:val="9"/>
        </w:numPr>
        <w:tabs>
          <w:tab w:val="clear" w:pos="576"/>
          <w:tab w:val="num" w:pos="690"/>
        </w:tabs>
        <w:spacing w:before="360" w:line="276" w:lineRule="auto"/>
        <w:ind w:left="690" w:hanging="360"/>
        <w:jc w:val="left"/>
        <w:rPr>
          <w:rFonts w:asciiTheme="majorHAnsi" w:hAnsiTheme="majorHAnsi" w:cstheme="majorHAnsi"/>
          <w:b/>
          <w:smallCap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 xml:space="preserve"> </w:t>
      </w:r>
      <w:bookmarkStart w:id="5" w:name="_Toc157691476"/>
      <w:r w:rsidR="00D71F1F" w:rsidRPr="00F23A69"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>Vytápění</w:t>
      </w:r>
      <w:bookmarkEnd w:id="5"/>
    </w:p>
    <w:p w14:paraId="67A376F1" w14:textId="77777777" w:rsidR="00F23A69" w:rsidRPr="00F23A69" w:rsidRDefault="00F23A69" w:rsidP="00F23A69"/>
    <w:p w14:paraId="122049E0" w14:textId="191BE676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měření teploty a ovládání otopných těles v každé vytápěné místnosti je řešeno pomocí systémových sběrnicových hlavic obsahujících čidlo teploty.</w:t>
      </w:r>
    </w:p>
    <w:p w14:paraId="6457BF14" w14:textId="3E831329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v případě požadavku na vytápění v některé místnosti bude spuštěno oběhové čerpadlo ČT1 (přivedením napětí, 230V).</w:t>
      </w:r>
    </w:p>
    <w:p w14:paraId="154A3FB4" w14:textId="27ABE333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řízení oběhového čerpadla pro VZT ČT3 (přivedením napětí, 230V) podle venkovní teploty (je v chodu např. při venkovní teplotě pod 10°C)</w:t>
      </w:r>
    </w:p>
    <w:p w14:paraId="5C7AA345" w14:textId="50509308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řízení směšovacích 3cv (SV.T.01 a SV.T.02 – oba 24V 0-10V) podle výstupní teploty na základě definované ekvitermní křivky</w:t>
      </w:r>
    </w:p>
    <w:p w14:paraId="65CF2313" w14:textId="4818975D" w:rsidR="00D71F1F" w:rsidRDefault="00F23A69" w:rsidP="00F23A69">
      <w:pPr>
        <w:pStyle w:val="Nadpis2"/>
        <w:keepLines/>
        <w:numPr>
          <w:ilvl w:val="1"/>
          <w:numId w:val="9"/>
        </w:numPr>
        <w:tabs>
          <w:tab w:val="clear" w:pos="576"/>
          <w:tab w:val="num" w:pos="690"/>
        </w:tabs>
        <w:spacing w:before="360" w:line="276" w:lineRule="auto"/>
        <w:ind w:left="690" w:hanging="360"/>
        <w:jc w:val="left"/>
        <w:rPr>
          <w:rFonts w:asciiTheme="majorHAnsi" w:hAnsiTheme="majorHAnsi" w:cstheme="majorHAnsi"/>
          <w:b/>
          <w:smallCap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 xml:space="preserve"> </w:t>
      </w:r>
      <w:bookmarkStart w:id="6" w:name="_Toc157691477"/>
      <w:r w:rsidR="00D71F1F" w:rsidRPr="00F23A69"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>Měření spotřeb</w:t>
      </w:r>
      <w:bookmarkEnd w:id="6"/>
    </w:p>
    <w:p w14:paraId="5AE22E05" w14:textId="77777777" w:rsidR="00F23A69" w:rsidRPr="00F23A69" w:rsidRDefault="00F23A69" w:rsidP="00F23A69"/>
    <w:p w14:paraId="40B38DD0" w14:textId="4210E535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nově doplněné kalorimetry (2ks), jejich odečet přes sběrnici M-bus</w:t>
      </w:r>
    </w:p>
    <w:p w14:paraId="43543868" w14:textId="5FD88B01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stávající kalorimetr pro vinárnu bude nyní ponechán jak je, následně může být přidán na sběrnici</w:t>
      </w:r>
    </w:p>
    <w:p w14:paraId="329EDB64" w14:textId="575D385E" w:rsidR="00D71F1F" w:rsidRDefault="00F23A69" w:rsidP="00F23A69">
      <w:pPr>
        <w:pStyle w:val="Nadpis2"/>
        <w:keepLines/>
        <w:numPr>
          <w:ilvl w:val="1"/>
          <w:numId w:val="9"/>
        </w:numPr>
        <w:tabs>
          <w:tab w:val="clear" w:pos="576"/>
          <w:tab w:val="num" w:pos="690"/>
        </w:tabs>
        <w:spacing w:before="360" w:line="276" w:lineRule="auto"/>
        <w:ind w:left="690" w:hanging="360"/>
        <w:jc w:val="left"/>
        <w:rPr>
          <w:rFonts w:asciiTheme="majorHAnsi" w:hAnsiTheme="majorHAnsi" w:cstheme="majorHAnsi"/>
          <w:b/>
          <w:smallCap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 xml:space="preserve"> </w:t>
      </w:r>
      <w:bookmarkStart w:id="7" w:name="_Toc157691478"/>
      <w:r w:rsidR="00D71F1F" w:rsidRPr="00F23A69">
        <w:rPr>
          <w:rFonts w:asciiTheme="majorHAnsi" w:hAnsiTheme="majorHAnsi" w:cstheme="majorHAnsi"/>
          <w:b/>
          <w:smallCaps/>
          <w:color w:val="000000"/>
          <w:sz w:val="28"/>
          <w:szCs w:val="28"/>
        </w:rPr>
        <w:t>Vzduchotechnika</w:t>
      </w:r>
      <w:bookmarkEnd w:id="7"/>
    </w:p>
    <w:p w14:paraId="20C56A43" w14:textId="77777777" w:rsidR="00F23A69" w:rsidRPr="00F23A69" w:rsidRDefault="00F23A69" w:rsidP="00F23A69"/>
    <w:p w14:paraId="013A815A" w14:textId="77777777" w:rsidR="00D71F1F" w:rsidRPr="00F23A69" w:rsidRDefault="00D71F1F" w:rsidP="00F23A69">
      <w:pPr>
        <w:spacing w:after="160" w:line="259" w:lineRule="auto"/>
        <w:ind w:firstLine="330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VZT jednotka pro 1.NP</w:t>
      </w:r>
    </w:p>
    <w:p w14:paraId="3C810019" w14:textId="3BDC6B51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má vlastní autonomní regulaci (uzavírací klapky, rekuperace, chod ventilátorů, protimrazová ochrana, řízení ohřívače, řízení chladiče/chladící jednotky, signalizace stavu filtrů) a ovládací panel, je napojena na TCP/IP síť a to umožňuje její dálkovou správu v lokální síti i zvenku</w:t>
      </w:r>
    </w:p>
    <w:p w14:paraId="22B63E01" w14:textId="3B389973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prokabelování komponentů a čidel okolo VZT jednotky je součástí dodávky VZT jednotky</w:t>
      </w:r>
    </w:p>
    <w:p w14:paraId="681273F2" w14:textId="35BF8FA8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lastRenderedPageBreak/>
        <w:t>jednotka bude napojena přes rozhraní Modbus do centrálního MaR a bude možné vyčítat/zadávat provozní údaje, chybové hlášky, teploty a otáčky ventilátorů, požadavek na chlazení (odhadem např. 50 registrů)</w:t>
      </w:r>
    </w:p>
    <w:p w14:paraId="6AC939BA" w14:textId="6A0FB4EC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MaR bude číst poruchové kontakty (odhadem 4x DI)</w:t>
      </w:r>
    </w:p>
    <w:p w14:paraId="783BC128" w14:textId="01174CA8" w:rsidR="00D71F1F" w:rsidRPr="00D71F1F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VZT jednotka je dálkově uvolněna do chodu – sepnutím kontaktu (podle požadavku na ruční chod, nebo časově)</w:t>
      </w:r>
    </w:p>
    <w:p w14:paraId="44AC7E52" w14:textId="40118ED5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VZT jednotka pracuje v ustáleném režimu</w:t>
      </w:r>
    </w:p>
    <w:p w14:paraId="2876DBC5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40929E3C" w14:textId="65B0E121" w:rsidR="00D71F1F" w:rsidRPr="00F23A69" w:rsidRDefault="00F23A69" w:rsidP="00F23A69">
      <w:pPr>
        <w:spacing w:after="160" w:line="259" w:lineRule="auto"/>
        <w:ind w:firstLine="360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Z</w:t>
      </w:r>
      <w:r w:rsidR="00D71F1F"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 xml:space="preserve">vlhčovač pro VZT 1.NP </w:t>
      </w:r>
    </w:p>
    <w:p w14:paraId="53CD2EE0" w14:textId="121BEEF7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je řízen signálem 0-10V podle požadované vlhkosti na výstupu z VZT jednotky = MaR měří relativní vlhkost a podle zadané hodnoty řídí výstup 0-10V</w:t>
      </w:r>
    </w:p>
    <w:p w14:paraId="77E8CC64" w14:textId="637E1BFA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je vybaven bezpečnostním hygrostatem – dodávku a propojení zajistí dodavatel zvlhčovače</w:t>
      </w:r>
    </w:p>
    <w:p w14:paraId="52CA85B1" w14:textId="4E5702EE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je vybaven čidlem tlakové diference - dodávku a propojení zajistí dodavatel zvlhčovače</w:t>
      </w:r>
    </w:p>
    <w:p w14:paraId="144BBBCB" w14:textId="04DA9E99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MaR čte 4xDI pro stavy zařízení (ready, chod vlhčení, požadavek údržby, porucha)</w:t>
      </w:r>
    </w:p>
    <w:p w14:paraId="3870065B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0628256D" w14:textId="77777777" w:rsidR="00D71F1F" w:rsidRPr="00F23A69" w:rsidRDefault="00D71F1F" w:rsidP="00F23A69">
      <w:pPr>
        <w:spacing w:after="160" w:line="259" w:lineRule="auto"/>
        <w:ind w:firstLine="360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VZT jednotka pro 2.NP</w:t>
      </w:r>
    </w:p>
    <w:p w14:paraId="4D30847D" w14:textId="3C209E5D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má vlastní autonomní regulaci (uzavírací klapky, rekuperace, chod ventilátorů, protimrazová ochrana, řízení ohřívače, řízení otáček podle tlaku v potrubí, signalizace stavu filtrů) a ovládací panel, je napojena na TCP/IP síť a to umožňuje její dálkovou správu v lokální síti i zvenku</w:t>
      </w:r>
    </w:p>
    <w:p w14:paraId="0E6CEB99" w14:textId="226FFBC2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prokabelování komponentů a čidel okolo VZT jednotky je součástí dodávky VZT jednotky</w:t>
      </w:r>
    </w:p>
    <w:p w14:paraId="533A8D80" w14:textId="17CADAAF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jednotka bude napojena přes rozhraní Modbus do centrálního MaR a bude možné vyčítat/zadávat provozní údaje, chybové hlášky, teploty a otáčky ventilátorů (odhadem např. 50 registrů)</w:t>
      </w:r>
    </w:p>
    <w:p w14:paraId="7CE1B991" w14:textId="5B860327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MaR bude číst poruchové kontakty (odhadem 4x DI)</w:t>
      </w:r>
    </w:p>
    <w:p w14:paraId="58935858" w14:textId="545D9619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VZT jednotka je dálkově uvolněna do chodu – sepnutím kontaktu (podle požadavku na chod VZT pro sály, nebo časově)</w:t>
      </w:r>
    </w:p>
    <w:p w14:paraId="50D8033E" w14:textId="55E5388D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VZT jednotka pracuje s proměnným vzduchovým množstvím - automaticky podle otevření regulátorů průtoku viz níže</w:t>
      </w:r>
    </w:p>
    <w:p w14:paraId="052D6471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3972EA8A" w14:textId="5060C592" w:rsidR="00D71F1F" w:rsidRPr="00F23A69" w:rsidRDefault="00F23A69" w:rsidP="00F23A69">
      <w:pPr>
        <w:spacing w:after="160" w:line="259" w:lineRule="auto"/>
        <w:ind w:firstLine="360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R</w:t>
      </w:r>
      <w:r w:rsidR="00D71F1F"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egulátory průtoku vzduchu do sálu a do zasedačky (celkem 4x)</w:t>
      </w:r>
    </w:p>
    <w:p w14:paraId="089C7F69" w14:textId="3B439BC6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podle měření CO2 v sálu a v zasedačce se otevírají regulátory (v párech přívod/odvod)</w:t>
      </w:r>
    </w:p>
    <w:p w14:paraId="3B9863CB" w14:textId="0CF6BB66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regulátory jsou 24V a 0-10V a mají z MaR nastavitelnou minimální a maximální úroveň otevření</w:t>
      </w:r>
    </w:p>
    <w:p w14:paraId="10AD82F5" w14:textId="555B6C20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jsou v chodu (pod napětím) jen pokud je v provozu VZT pro 2.NP</w:t>
      </w:r>
    </w:p>
    <w:p w14:paraId="6B85B2B7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0325FBCA" w14:textId="77777777" w:rsid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 xml:space="preserve"> </w:t>
      </w:r>
    </w:p>
    <w:p w14:paraId="514857A2" w14:textId="77777777" w:rsidR="00F23A69" w:rsidRPr="00D71F1F" w:rsidRDefault="00F23A69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633917AC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204E1088" w14:textId="7BF5FCB2" w:rsidR="00D71F1F" w:rsidRPr="00F23A69" w:rsidRDefault="00F23A69" w:rsidP="00F23A69">
      <w:pPr>
        <w:spacing w:after="160" w:line="259" w:lineRule="auto"/>
        <w:ind w:firstLine="360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C</w:t>
      </w:r>
      <w:r w:rsidR="00D71F1F"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hlazení pro VZT 1.NP</w:t>
      </w:r>
    </w:p>
    <w:p w14:paraId="6DDD033A" w14:textId="5B14657E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venkovní chladící jednotka je řízena modulem KM113.27UU</w:t>
      </w:r>
    </w:p>
    <w:p w14:paraId="5142A21D" w14:textId="6C71B3F1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řídící signál 0-10V poskytuje VZT jednotka</w:t>
      </w:r>
    </w:p>
    <w:p w14:paraId="59BD3B8A" w14:textId="0831FA90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MaR čte údaje přes Modbus (20 registrů)</w:t>
      </w:r>
    </w:p>
    <w:p w14:paraId="203BD83E" w14:textId="7FAAD53F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MaR přes DO uvolňuje do chodu při chodu VZT 1 a při teplotě větší jak např. 22°C</w:t>
      </w:r>
    </w:p>
    <w:p w14:paraId="5DB3B2D5" w14:textId="2220E8D5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MaR přes 2xDO může omezit max. výkon</w:t>
      </w:r>
    </w:p>
    <w:p w14:paraId="2A4866D2" w14:textId="515AFCA8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MaR čte DI s poruchou</w:t>
      </w:r>
    </w:p>
    <w:p w14:paraId="1994276B" w14:textId="7F5107DF" w:rsidR="00D71F1F" w:rsidRPr="00F23A69" w:rsidRDefault="00D71F1F" w:rsidP="00D71F1F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ostatní chladící jednotky (celkem 5x venkovní a 7x vnitřní)</w:t>
      </w:r>
      <w:r w:rsidR="00F23A69">
        <w:rPr>
          <w:rFonts w:ascii="Calibri Light" w:eastAsia="Calibri" w:hAnsi="Calibri Light" w:cs="Calibri Light"/>
          <w:szCs w:val="24"/>
          <w:lang w:eastAsia="en-US"/>
        </w:rPr>
        <w:t xml:space="preserve"> </w:t>
      </w:r>
      <w:r w:rsidRPr="00F23A69">
        <w:rPr>
          <w:rFonts w:ascii="Calibri Light" w:eastAsia="Calibri" w:hAnsi="Calibri Light" w:cs="Calibri Light"/>
          <w:szCs w:val="24"/>
          <w:lang w:eastAsia="en-US"/>
        </w:rPr>
        <w:t>mají kabelové dálkové ovladače, ty propojuje profese CHL</w:t>
      </w:r>
    </w:p>
    <w:p w14:paraId="48F1A319" w14:textId="0E7B5697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venkovní jednotky mají komunikační karty rozhraní 485 Modbus</w:t>
      </w:r>
    </w:p>
    <w:p w14:paraId="2D8CD148" w14:textId="074853B6" w:rsidR="00D71F1F" w:rsidRPr="00F23A69" w:rsidRDefault="00D71F1F" w:rsidP="00F23A69">
      <w:pPr>
        <w:pStyle w:val="Odstavecseseznamem"/>
        <w:numPr>
          <w:ilvl w:val="0"/>
          <w:numId w:val="35"/>
        </w:num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F23A69">
        <w:rPr>
          <w:rFonts w:ascii="Calibri Light" w:eastAsia="Calibri" w:hAnsi="Calibri Light" w:cs="Calibri Light"/>
          <w:szCs w:val="24"/>
          <w:lang w:eastAsia="en-US"/>
        </w:rPr>
        <w:t>MaR napojí karty na sběrnici a bude číst a zapisovat data (odhadem 40 registrů), bude vyloučen souběh vytápění a chlazení</w:t>
      </w:r>
    </w:p>
    <w:p w14:paraId="0E4577D3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</w:p>
    <w:p w14:paraId="18D40474" w14:textId="2359D3A1" w:rsidR="00D71F1F" w:rsidRPr="00F23A69" w:rsidRDefault="00D71F1F" w:rsidP="00D71F1F">
      <w:pPr>
        <w:spacing w:after="160" w:line="259" w:lineRule="auto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 xml:space="preserve"> </w:t>
      </w:r>
      <w:r w:rsidR="00F23A69"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V</w:t>
      </w: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entilátor VS</w:t>
      </w:r>
    </w:p>
    <w:p w14:paraId="18BB9BE7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Spouštět dle časového programu a dle čidla teploty v prostoru (při nárůstu nad 28 °C s možností přenastavení)</w:t>
      </w:r>
    </w:p>
    <w:p w14:paraId="69DE6098" w14:textId="77777777" w:rsidR="00D71F1F" w:rsidRPr="00F23A69" w:rsidRDefault="00D71F1F" w:rsidP="00D71F1F">
      <w:pPr>
        <w:spacing w:after="160" w:line="259" w:lineRule="auto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ventilátor WC1</w:t>
      </w:r>
    </w:p>
    <w:p w14:paraId="132C9358" w14:textId="77777777" w:rsidR="00D71F1F" w:rsidRPr="00D71F1F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Spouštět dle čidla obsazenosti WC (nebo od světla) s doběhem a podle časového programu nebo dálkově ručně</w:t>
      </w:r>
    </w:p>
    <w:p w14:paraId="1243FAFB" w14:textId="77777777" w:rsidR="00D71F1F" w:rsidRPr="00F23A69" w:rsidRDefault="00D71F1F" w:rsidP="00D71F1F">
      <w:pPr>
        <w:spacing w:after="160" w:line="259" w:lineRule="auto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F23A69">
        <w:rPr>
          <w:rFonts w:ascii="Calibri Light" w:eastAsia="Calibri" w:hAnsi="Calibri Light" w:cs="Calibri Light"/>
          <w:b/>
          <w:bCs/>
          <w:szCs w:val="24"/>
          <w:lang w:eastAsia="en-US"/>
        </w:rPr>
        <w:t>ventilátor WC2</w:t>
      </w:r>
    </w:p>
    <w:p w14:paraId="0D2DDCAF" w14:textId="55003910" w:rsidR="00D71F1F" w:rsidRPr="001732D6" w:rsidRDefault="00D71F1F" w:rsidP="00D71F1F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D71F1F">
        <w:rPr>
          <w:rFonts w:ascii="Calibri Light" w:eastAsia="Calibri" w:hAnsi="Calibri Light" w:cs="Calibri Light"/>
          <w:szCs w:val="24"/>
          <w:lang w:eastAsia="en-US"/>
        </w:rPr>
        <w:t>Spouštět dle čidla obsazenosti WC (nebo od světla) s doběhem a podle časového programu nebo dálkově ručně</w:t>
      </w:r>
    </w:p>
    <w:p w14:paraId="0CF12B7D" w14:textId="77010DB1" w:rsidR="001732D6" w:rsidRPr="001732D6" w:rsidRDefault="001732D6" w:rsidP="001732D6">
      <w:pPr>
        <w:pStyle w:val="Nadpis1"/>
        <w:keepLines/>
        <w:numPr>
          <w:ilvl w:val="0"/>
          <w:numId w:val="9"/>
        </w:numPr>
        <w:pBdr>
          <w:bottom w:val="single" w:sz="4" w:space="1" w:color="595959"/>
        </w:pBdr>
        <w:tabs>
          <w:tab w:val="clear" w:pos="432"/>
          <w:tab w:val="num" w:pos="690"/>
        </w:tabs>
        <w:spacing w:before="360" w:after="160" w:line="276" w:lineRule="auto"/>
        <w:ind w:left="690" w:hanging="360"/>
        <w:jc w:val="left"/>
        <w:rPr>
          <w:rFonts w:asciiTheme="majorHAnsi" w:hAnsiTheme="majorHAnsi" w:cstheme="majorHAnsi"/>
          <w:bCs/>
          <w:smallCaps/>
          <w:color w:val="000000"/>
          <w:sz w:val="36"/>
          <w:szCs w:val="36"/>
        </w:rPr>
      </w:pPr>
      <w:r w:rsidRPr="001732D6"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tab/>
      </w:r>
      <w:bookmarkStart w:id="8" w:name="_Toc157691479"/>
      <w:r w:rsidRPr="001732D6"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t>R</w:t>
      </w:r>
      <w:r w:rsidR="00F35C1A"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t>ozvody</w:t>
      </w:r>
      <w:bookmarkEnd w:id="8"/>
    </w:p>
    <w:p w14:paraId="1B1E2424" w14:textId="77777777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Rozvody musí být provedeny dle odpovídajících ČSN a předpisů. Musí být dodrženy zásady o úpravě rozvodných skříní, označování svorkovnic, křižování a souběhu se silovým vedením dle ČSN  33 2000-5-52 ed.3.</w:t>
      </w:r>
    </w:p>
    <w:p w14:paraId="6E5D48B9" w14:textId="0F78111C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 xml:space="preserve">Kabely budou uloženy v ohebných trubkách PVC pod omítkou, nad podhledem a v dutinách dle koordinace s ostatními profesemi. Veškeré prostupy mezi různými požárními úseky musí být utěsněny požárními ucpávkami. </w:t>
      </w:r>
    </w:p>
    <w:p w14:paraId="0BBBE4A3" w14:textId="77777777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Je nutné dodržet odstupy slaboproudých rozvodů od rozvodů silnoproudých při jejich souběhu: při souběhu do 5m – odstup 6cm, při souběhu nad 5m – odstup 20cm.</w:t>
      </w:r>
    </w:p>
    <w:p w14:paraId="423EE568" w14:textId="0C352A2E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b/>
          <w:bCs/>
          <w:szCs w:val="24"/>
          <w:lang w:eastAsia="en-US"/>
        </w:rPr>
      </w:pPr>
      <w:r w:rsidRPr="001732D6">
        <w:rPr>
          <w:rFonts w:ascii="Calibri Light" w:eastAsia="Calibri" w:hAnsi="Calibri Light" w:cs="Calibri Light"/>
          <w:b/>
          <w:bCs/>
          <w:szCs w:val="24"/>
          <w:lang w:eastAsia="en-US"/>
        </w:rPr>
        <w:t>Pokyny pro montáž</w:t>
      </w:r>
      <w:r>
        <w:rPr>
          <w:rFonts w:ascii="Calibri Light" w:eastAsia="Calibri" w:hAnsi="Calibri Light" w:cs="Calibri Light"/>
          <w:b/>
          <w:bCs/>
          <w:szCs w:val="24"/>
          <w:lang w:eastAsia="en-US"/>
        </w:rPr>
        <w:t>:</w:t>
      </w:r>
    </w:p>
    <w:p w14:paraId="01F3965C" w14:textId="047CA0E2" w:rsidR="001732D6" w:rsidRP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lastRenderedPageBreak/>
        <w:t>Rozmístění jednotlivých prvků a tras je třeba koordinovat s ostatními profesemi a interiérem. Instalaci celého zařízení je nutné provést dle předmětných norem pro jednotlivé slaboproudé systémy a norem všeobecných ČSN 33 2000-4-41 ed.</w:t>
      </w:r>
      <w:r>
        <w:rPr>
          <w:rFonts w:ascii="Calibri Light" w:eastAsia="Calibri" w:hAnsi="Calibri Light" w:cs="Calibri Light"/>
          <w:szCs w:val="24"/>
          <w:lang w:eastAsia="en-US"/>
        </w:rPr>
        <w:t>3</w:t>
      </w:r>
      <w:r w:rsidRPr="001732D6">
        <w:rPr>
          <w:rFonts w:ascii="Calibri Light" w:eastAsia="Calibri" w:hAnsi="Calibri Light" w:cs="Calibri Light"/>
          <w:szCs w:val="24"/>
          <w:lang w:eastAsia="en-US"/>
        </w:rPr>
        <w:t xml:space="preserve"> a ČSN 34 2300 ed.2.</w:t>
      </w:r>
    </w:p>
    <w:p w14:paraId="3E58DB68" w14:textId="78DBF726" w:rsidR="001732D6" w:rsidRDefault="001732D6" w:rsidP="001732D6">
      <w:pPr>
        <w:spacing w:after="160" w:line="259" w:lineRule="auto"/>
        <w:rPr>
          <w:rFonts w:ascii="Calibri Light" w:eastAsia="Calibri" w:hAnsi="Calibri Light" w:cs="Calibri Light"/>
          <w:szCs w:val="24"/>
          <w:lang w:eastAsia="en-US"/>
        </w:rPr>
      </w:pPr>
      <w:r w:rsidRPr="001732D6">
        <w:rPr>
          <w:rFonts w:ascii="Calibri Light" w:eastAsia="Calibri" w:hAnsi="Calibri Light" w:cs="Calibri Light"/>
          <w:szCs w:val="24"/>
          <w:lang w:eastAsia="en-US"/>
        </w:rPr>
        <w:t>Jakékoliv změny oproti projektu je nutno konzultovat s projektantem a tyto změny zakreslí montážní pracovníci do montážního paré. Během montáže musí být dodržovány bezpečnostní předpisy pro práci v objektu, zvláště bezpečnostní předpisy pro práci na elektrickém zařízení a při práci na žebřících.</w:t>
      </w:r>
    </w:p>
    <w:p w14:paraId="669828A3" w14:textId="77777777" w:rsidR="00E80C9A" w:rsidRPr="002D504A" w:rsidRDefault="00E80C9A" w:rsidP="00E80C9A">
      <w:pPr>
        <w:pStyle w:val="Nadpis1"/>
        <w:keepLines/>
        <w:numPr>
          <w:ilvl w:val="0"/>
          <w:numId w:val="9"/>
        </w:numPr>
        <w:pBdr>
          <w:bottom w:val="single" w:sz="4" w:space="1" w:color="595959"/>
        </w:pBdr>
        <w:tabs>
          <w:tab w:val="clear" w:pos="432"/>
          <w:tab w:val="num" w:pos="690"/>
        </w:tabs>
        <w:spacing w:before="360" w:after="160" w:line="276" w:lineRule="auto"/>
        <w:ind w:left="690" w:hanging="360"/>
        <w:jc w:val="left"/>
        <w:rPr>
          <w:rFonts w:asciiTheme="majorHAnsi" w:hAnsiTheme="majorHAnsi" w:cstheme="majorHAnsi"/>
          <w:bCs/>
          <w:smallCaps/>
          <w:color w:val="000000"/>
          <w:sz w:val="36"/>
          <w:szCs w:val="36"/>
        </w:rPr>
      </w:pPr>
      <w:bookmarkStart w:id="9" w:name="_Toc157691480"/>
      <w:r w:rsidRPr="002D504A"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t>Soupis použitých norem</w:t>
      </w:r>
      <w:bookmarkEnd w:id="9"/>
    </w:p>
    <w:p w14:paraId="765BD199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Základní technické normy, podle kterých bylo v projektu postupováno:</w:t>
      </w:r>
    </w:p>
    <w:p w14:paraId="2067DDC5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33 2000-4-41 ed. 3</w:t>
      </w:r>
      <w:r w:rsidRPr="00F638E6">
        <w:rPr>
          <w:rFonts w:ascii="Calibri Light" w:hAnsi="Calibri Light" w:cs="Calibri Light"/>
          <w:i w:val="0"/>
          <w:szCs w:val="24"/>
        </w:rPr>
        <w:tab/>
        <w:t>Elektrické instalace nízkého napětí - Část 4-41: Ochranná opatření pro zajištění bezpečnosti - Ochrana před úrazem elektrickým proudem (1.2018)</w:t>
      </w:r>
    </w:p>
    <w:p w14:paraId="4BF20018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33 2000-5-51 ed. 3</w:t>
      </w:r>
      <w:r w:rsidRPr="00F638E6">
        <w:rPr>
          <w:rFonts w:ascii="Calibri Light" w:hAnsi="Calibri Light" w:cs="Calibri Light"/>
          <w:i w:val="0"/>
          <w:szCs w:val="24"/>
        </w:rPr>
        <w:tab/>
        <w:t>Elektrické instalace nízkého napětí - Část 5-51: Výběr a stavba elektrických zařízení - Všeobecné předpisy (4.2010)</w:t>
      </w:r>
    </w:p>
    <w:p w14:paraId="1DFA6C7E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33 2000-5-52 ed. 2</w:t>
      </w:r>
      <w:r w:rsidRPr="00F638E6">
        <w:rPr>
          <w:rFonts w:ascii="Calibri Light" w:hAnsi="Calibri Light" w:cs="Calibri Light"/>
          <w:i w:val="0"/>
          <w:szCs w:val="24"/>
        </w:rPr>
        <w:tab/>
        <w:t>Elektrické instalace nízkého napětí - Část 5-52: Výběr a stavba elektrických zařízení - Elektrická vedení (2.2012)</w:t>
      </w:r>
    </w:p>
    <w:p w14:paraId="6DC2DB14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CLC/TS 50539-12</w:t>
      </w:r>
      <w:r w:rsidRPr="00F638E6">
        <w:rPr>
          <w:rFonts w:ascii="Calibri Light" w:hAnsi="Calibri Light" w:cs="Calibri Light"/>
          <w:i w:val="0"/>
          <w:szCs w:val="24"/>
        </w:rPr>
        <w:tab/>
        <w:t>Ochrany před přepětím nízkého napětí - Ochrany před přepětím pro zvláštní použití zahrnující DC - Část 12: Zásady výběru a použití - SPD připojená do fotovoltaických instalací (5.2013)</w:t>
      </w:r>
    </w:p>
    <w:p w14:paraId="675B6EFF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34 2300 ed. 2</w:t>
      </w:r>
      <w:r w:rsidRPr="00F638E6">
        <w:rPr>
          <w:rFonts w:ascii="Calibri Light" w:hAnsi="Calibri Light" w:cs="Calibri Light"/>
          <w:i w:val="0"/>
          <w:szCs w:val="24"/>
        </w:rPr>
        <w:tab/>
        <w:t>Předpisy pro vnitřní rozvody vedení elektronických komunikací (9.2014)</w:t>
      </w:r>
    </w:p>
    <w:p w14:paraId="46D0DFE4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EN 50173-1 ed. 4</w:t>
      </w:r>
      <w:r w:rsidRPr="00F638E6">
        <w:rPr>
          <w:rFonts w:ascii="Calibri Light" w:hAnsi="Calibri Light" w:cs="Calibri Light"/>
          <w:i w:val="0"/>
          <w:szCs w:val="24"/>
        </w:rPr>
        <w:tab/>
        <w:t>Informační technologie - Univerzální kabelážní systémy - Část 1: Obecné požadavky (1.2019)</w:t>
      </w:r>
    </w:p>
    <w:p w14:paraId="562A0CC3" w14:textId="77777777" w:rsidR="00E80C9A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EN 50173-4 ed. 2</w:t>
      </w:r>
      <w:r w:rsidRPr="00F638E6">
        <w:rPr>
          <w:rFonts w:ascii="Calibri Light" w:hAnsi="Calibri Light" w:cs="Calibri Light"/>
          <w:i w:val="0"/>
          <w:szCs w:val="24"/>
        </w:rPr>
        <w:tab/>
        <w:t>Informační technologie - Univerzální kabelážní systémy - Část 4: Obytné prostory (1.2019)</w:t>
      </w:r>
    </w:p>
    <w:p w14:paraId="701476E3" w14:textId="3EBBC97C" w:rsidR="00151C5D" w:rsidRPr="00714731" w:rsidRDefault="00151C5D" w:rsidP="00151C5D">
      <w:pPr>
        <w:pStyle w:val="Pokraovnseznamu"/>
        <w:spacing w:before="120"/>
        <w:ind w:left="0" w:right="0" w:firstLine="0"/>
        <w:rPr>
          <w:rFonts w:asciiTheme="majorHAnsi" w:hAnsiTheme="majorHAnsi" w:cstheme="majorHAnsi"/>
          <w:i w:val="0"/>
        </w:rPr>
      </w:pPr>
      <w:r w:rsidRPr="00714731">
        <w:rPr>
          <w:rFonts w:asciiTheme="majorHAnsi" w:hAnsiTheme="majorHAnsi" w:cstheme="majorHAnsi"/>
          <w:i w:val="0"/>
        </w:rPr>
        <w:t>ČSN EN 50174-1 ed.</w:t>
      </w:r>
      <w:r w:rsidR="003F6D40">
        <w:rPr>
          <w:rFonts w:asciiTheme="majorHAnsi" w:hAnsiTheme="majorHAnsi" w:cstheme="majorHAnsi"/>
          <w:i w:val="0"/>
        </w:rPr>
        <w:t>3</w:t>
      </w:r>
      <w:r w:rsidRPr="00714731">
        <w:rPr>
          <w:rFonts w:asciiTheme="majorHAnsi" w:hAnsiTheme="majorHAnsi" w:cstheme="majorHAnsi"/>
          <w:i w:val="0"/>
        </w:rPr>
        <w:t>- Informační technika - Instalace kabelových rozvodů - Část 1: Specifikace a zabezpečení kvality</w:t>
      </w:r>
    </w:p>
    <w:p w14:paraId="26387400" w14:textId="77777777" w:rsidR="00E80C9A" w:rsidRPr="00F638E6" w:rsidRDefault="00E80C9A" w:rsidP="003F6D40">
      <w:pPr>
        <w:pStyle w:val="Pokraovnseznamu"/>
        <w:spacing w:before="120"/>
        <w:ind w:lef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EN 50174-2 ed. 3</w:t>
      </w:r>
      <w:r w:rsidRPr="00F638E6">
        <w:rPr>
          <w:rFonts w:ascii="Calibri Light" w:hAnsi="Calibri Light" w:cs="Calibri Light"/>
          <w:i w:val="0"/>
          <w:szCs w:val="24"/>
        </w:rPr>
        <w:tab/>
        <w:t>Informační technologie - Instalace kabelových rozvodů - Část 2: Projektová příprava a výstavba v budovách (4.2019)</w:t>
      </w:r>
    </w:p>
    <w:p w14:paraId="77539364" w14:textId="77777777" w:rsidR="00E80C9A" w:rsidRDefault="00E80C9A" w:rsidP="003F6D40">
      <w:pPr>
        <w:pStyle w:val="Pokraovnseznamu"/>
        <w:spacing w:before="120"/>
        <w:ind w:left="0" w:right="0" w:firstLine="0"/>
        <w:rPr>
          <w:rFonts w:ascii="Calibri Light" w:hAnsi="Calibri Light" w:cs="Calibri Light"/>
          <w:i w:val="0"/>
          <w:szCs w:val="24"/>
        </w:rPr>
      </w:pPr>
      <w:r w:rsidRPr="00F638E6">
        <w:rPr>
          <w:rFonts w:ascii="Calibri Light" w:hAnsi="Calibri Light" w:cs="Calibri Light"/>
          <w:i w:val="0"/>
          <w:szCs w:val="24"/>
        </w:rPr>
        <w:t>ČSN 73 6005</w:t>
      </w:r>
      <w:r w:rsidRPr="00F638E6">
        <w:rPr>
          <w:rFonts w:ascii="Calibri Light" w:hAnsi="Calibri Light" w:cs="Calibri Light"/>
          <w:i w:val="0"/>
          <w:szCs w:val="24"/>
        </w:rPr>
        <w:tab/>
        <w:t>Prostorové uspořádání sítí technického vybavení (9.1994)</w:t>
      </w:r>
    </w:p>
    <w:p w14:paraId="5C83265F" w14:textId="37D049EB" w:rsidR="003F6D40" w:rsidRDefault="003F6D40" w:rsidP="003F6D40">
      <w:pPr>
        <w:pStyle w:val="Pokraovnseznamu"/>
        <w:spacing w:before="120"/>
        <w:ind w:left="0" w:right="0" w:firstLine="0"/>
        <w:rPr>
          <w:rFonts w:asciiTheme="majorHAnsi" w:hAnsiTheme="majorHAnsi" w:cstheme="majorHAnsi"/>
          <w:i w:val="0"/>
        </w:rPr>
      </w:pPr>
      <w:r w:rsidRPr="00714731">
        <w:rPr>
          <w:rFonts w:asciiTheme="majorHAnsi" w:hAnsiTheme="majorHAnsi" w:cstheme="majorHAnsi"/>
          <w:i w:val="0"/>
        </w:rPr>
        <w:t>ČSN EN 50346 - Informační technologie - Instalace kabelových rozvodů - Zkoušení instalovaných kabelových rozvodů</w:t>
      </w:r>
    </w:p>
    <w:p w14:paraId="23189D93" w14:textId="77777777" w:rsidR="003F6D40" w:rsidRPr="00714731" w:rsidRDefault="003F6D40" w:rsidP="003F6D40">
      <w:pPr>
        <w:pStyle w:val="Pokraovnseznamu"/>
        <w:spacing w:before="120"/>
        <w:ind w:left="0" w:right="0" w:firstLine="0"/>
        <w:rPr>
          <w:rFonts w:asciiTheme="majorHAnsi" w:hAnsiTheme="majorHAnsi" w:cstheme="majorHAnsi"/>
          <w:i w:val="0"/>
        </w:rPr>
      </w:pPr>
      <w:r w:rsidRPr="00714731">
        <w:rPr>
          <w:rFonts w:asciiTheme="majorHAnsi" w:hAnsiTheme="majorHAnsi" w:cstheme="majorHAnsi"/>
          <w:i w:val="0"/>
        </w:rPr>
        <w:t>ČSN EN 50310 ed.3 - Použití společné soustavy pospojování a zemnění v budovách vybavených zařízením informační techniky</w:t>
      </w:r>
    </w:p>
    <w:p w14:paraId="2D82C299" w14:textId="77777777" w:rsidR="00E80C9A" w:rsidRPr="002D504A" w:rsidRDefault="00E80C9A" w:rsidP="00E80C9A">
      <w:pPr>
        <w:pStyle w:val="Nadpis1"/>
        <w:keepLines/>
        <w:numPr>
          <w:ilvl w:val="0"/>
          <w:numId w:val="9"/>
        </w:numPr>
        <w:pBdr>
          <w:bottom w:val="single" w:sz="4" w:space="1" w:color="595959"/>
        </w:pBdr>
        <w:tabs>
          <w:tab w:val="clear" w:pos="432"/>
          <w:tab w:val="num" w:pos="690"/>
        </w:tabs>
        <w:spacing w:before="360" w:after="160" w:line="276" w:lineRule="auto"/>
        <w:ind w:left="690" w:hanging="360"/>
        <w:jc w:val="left"/>
        <w:rPr>
          <w:rFonts w:asciiTheme="majorHAnsi" w:hAnsiTheme="majorHAnsi" w:cstheme="majorHAnsi"/>
          <w:bCs/>
          <w:smallCaps/>
          <w:color w:val="000000"/>
          <w:sz w:val="36"/>
          <w:szCs w:val="36"/>
        </w:rPr>
      </w:pPr>
      <w:bookmarkStart w:id="10" w:name="_Toc210494319"/>
      <w:bookmarkStart w:id="11" w:name="_Toc285033886"/>
      <w:bookmarkStart w:id="12" w:name="_Toc286304293"/>
      <w:bookmarkStart w:id="13" w:name="_Toc157691481"/>
      <w:r w:rsidRPr="002D504A"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lastRenderedPageBreak/>
        <w:t>B</w:t>
      </w:r>
      <w:bookmarkEnd w:id="10"/>
      <w:bookmarkEnd w:id="11"/>
      <w:r w:rsidRPr="002D504A">
        <w:rPr>
          <w:rFonts w:asciiTheme="majorHAnsi" w:hAnsiTheme="majorHAnsi" w:cstheme="majorHAnsi"/>
          <w:bCs/>
          <w:smallCaps/>
          <w:color w:val="000000"/>
          <w:sz w:val="36"/>
          <w:szCs w:val="36"/>
        </w:rPr>
        <w:t>ezpečnost práce</w:t>
      </w:r>
      <w:bookmarkEnd w:id="12"/>
      <w:bookmarkEnd w:id="13"/>
    </w:p>
    <w:p w14:paraId="0C7041F3" w14:textId="77777777" w:rsidR="00E80C9A" w:rsidRPr="00B60E4C" w:rsidRDefault="00E80C9A" w:rsidP="00E80C9A">
      <w:pPr>
        <w:spacing w:line="240" w:lineRule="auto"/>
        <w:jc w:val="both"/>
        <w:rPr>
          <w:rFonts w:ascii="Calibri" w:hAnsi="Calibri"/>
        </w:rPr>
      </w:pPr>
    </w:p>
    <w:p w14:paraId="499EBD00" w14:textId="0DCFE8D7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 xml:space="preserve">Bezpečnost a ochrana zdraví při práci musí být zajištěna příslušnými </w:t>
      </w:r>
      <w:r w:rsidR="00015B6F" w:rsidRPr="00E84AD4">
        <w:rPr>
          <w:rFonts w:ascii="Calibri Light" w:hAnsi="Calibri Light" w:cs="Calibri Light"/>
          <w:i w:val="0"/>
          <w:szCs w:val="24"/>
        </w:rPr>
        <w:t>technicko-organizačními</w:t>
      </w:r>
      <w:r w:rsidRPr="00E84AD4">
        <w:rPr>
          <w:rFonts w:ascii="Calibri Light" w:hAnsi="Calibri Light" w:cs="Calibri Light"/>
          <w:i w:val="0"/>
          <w:szCs w:val="24"/>
        </w:rPr>
        <w:t xml:space="preserve"> opatřeními a dodržováním souvisejících předpisů a norem. Během elektroinstalačních prací a při následném uvádění do provozu, provozu, obsluze a údržbě zařízení je nutno dodržovat zejména:</w:t>
      </w:r>
    </w:p>
    <w:p w14:paraId="69C58BE7" w14:textId="186749AE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zákon č. 262/2006 Sb., zákoník práce, ve znění pozdějších předpisů</w:t>
      </w:r>
    </w:p>
    <w:p w14:paraId="5A951421" w14:textId="63D5B400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zákon č. 309/2006 Sb., o zajištění dalších podmínek bezpečnosti a ochrany zdraví při práci, ve znění pozdějších předpisů</w:t>
      </w:r>
    </w:p>
    <w:p w14:paraId="24320F74" w14:textId="4255777C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zákon č. 251/2005 Sb., o inspekci práce, ve znění pozdějších předpisů</w:t>
      </w:r>
    </w:p>
    <w:p w14:paraId="2F87AA56" w14:textId="5994F3AF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zákon č. 127/2005 Sb., o elektronických komunikacích, ve znění pozdějších předpisů</w:t>
      </w:r>
    </w:p>
    <w:p w14:paraId="74ED51EE" w14:textId="441D7A37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zákon č. 22/1997 Sb., o technických požadavcích na výrobky, ve znění pozdějších předpisů</w:t>
      </w:r>
    </w:p>
    <w:p w14:paraId="4F6D14BE" w14:textId="30298699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zákon č. 174/1968 Sb., o státním odborném dozoru nad bezpečností práce, ve znění pozdějších předpisů</w:t>
      </w:r>
    </w:p>
    <w:p w14:paraId="16494A04" w14:textId="692A41EA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nařízení vlády č. 361/2007 Sb., kterým se stanoví podmínky ochrany zdraví při práci, ve znění pozdějších předpisů</w:t>
      </w:r>
    </w:p>
    <w:p w14:paraId="14A93719" w14:textId="3582775F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nařízení vlády č. 591/2006 Sb., o bližších minimálních požadavcích na bezpečnost a ochranu zdraví při práci na staveništích, ve znění pozdějších předpisů</w:t>
      </w:r>
    </w:p>
    <w:p w14:paraId="3AB38409" w14:textId="1531E09C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nařízení vlády č. 362/2005 Sb., o bližších požadavcích na bezpečnost a ochranu zdraví při práci na pracovištích s nebezpečím pádu z výšky nebo do hloubky</w:t>
      </w:r>
    </w:p>
    <w:p w14:paraId="17F5CE54" w14:textId="472F2AED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vyhlášku č. 23/2008 Sb., o technických podmínkách požární ochrany staveb, ve znění pozdějších předpisů</w:t>
      </w:r>
    </w:p>
    <w:p w14:paraId="5FDB63E7" w14:textId="363FC32B" w:rsidR="00D0792E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Pr="00E84AD4">
        <w:rPr>
          <w:rFonts w:ascii="Calibri Light" w:hAnsi="Calibri Light" w:cs="Calibri Light"/>
          <w:i w:val="0"/>
          <w:szCs w:val="24"/>
        </w:rPr>
        <w:tab/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vyhlášku č. 50/1978 Sb., o odborné způsobilosti v elektrotechnice, ve znění pozdějších předpisů</w:t>
      </w:r>
    </w:p>
    <w:p w14:paraId="2E55F012" w14:textId="1D0DD20B" w:rsidR="00E80C9A" w:rsidRPr="00E84AD4" w:rsidRDefault="00E80C9A" w:rsidP="00E84AD4">
      <w:pPr>
        <w:pStyle w:val="Pokraovnseznamu"/>
        <w:spacing w:before="120"/>
        <w:ind w:firstLine="142"/>
        <w:rPr>
          <w:rFonts w:ascii="Calibri Light" w:hAnsi="Calibri Light" w:cs="Calibri Light"/>
          <w:i w:val="0"/>
          <w:szCs w:val="24"/>
        </w:rPr>
      </w:pPr>
      <w:r w:rsidRPr="00E84AD4">
        <w:rPr>
          <w:rFonts w:ascii="Calibri Light" w:hAnsi="Calibri Light" w:cs="Calibri Light"/>
          <w:i w:val="0"/>
          <w:szCs w:val="24"/>
        </w:rPr>
        <w:t>•</w:t>
      </w:r>
      <w:r w:rsidR="00015B6F" w:rsidRPr="00E84AD4">
        <w:rPr>
          <w:rFonts w:ascii="Calibri Light" w:hAnsi="Calibri Light" w:cs="Calibri Light"/>
          <w:i w:val="0"/>
          <w:szCs w:val="24"/>
        </w:rPr>
        <w:t xml:space="preserve"> </w:t>
      </w:r>
      <w:r w:rsidRPr="00E84AD4">
        <w:rPr>
          <w:rFonts w:ascii="Calibri Light" w:hAnsi="Calibri Light" w:cs="Calibri Light"/>
          <w:i w:val="0"/>
          <w:szCs w:val="24"/>
        </w:rPr>
        <w:t>předpisy k zajištění bezpečnosti a ochrany zdraví při práci zhotovitele</w:t>
      </w:r>
    </w:p>
    <w:p w14:paraId="774E4554" w14:textId="77777777" w:rsidR="00E80C9A" w:rsidRPr="003555D7" w:rsidRDefault="00E80C9A" w:rsidP="00E80C9A">
      <w:pPr>
        <w:pStyle w:val="Zkladntext22"/>
        <w:tabs>
          <w:tab w:val="clear" w:pos="8931"/>
        </w:tabs>
        <w:ind w:firstLine="0"/>
        <w:rPr>
          <w:rFonts w:ascii="Calibri Light" w:hAnsi="Calibri Light" w:cs="Calibri Light"/>
          <w:sz w:val="24"/>
          <w:szCs w:val="24"/>
        </w:rPr>
      </w:pPr>
    </w:p>
    <w:p w14:paraId="10C6A134" w14:textId="1301DF54" w:rsidR="00E80C9A" w:rsidRDefault="00E80C9A" w:rsidP="00E80C9A">
      <w:pPr>
        <w:pStyle w:val="Zkladntext22"/>
        <w:tabs>
          <w:tab w:val="clear" w:pos="8931"/>
        </w:tabs>
        <w:ind w:firstLine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V Brně, </w:t>
      </w:r>
      <w:r w:rsidR="00F23A69">
        <w:rPr>
          <w:rFonts w:ascii="Calibri Light" w:hAnsi="Calibri Light" w:cs="Calibri Light"/>
          <w:sz w:val="24"/>
          <w:szCs w:val="24"/>
        </w:rPr>
        <w:t>leden</w:t>
      </w:r>
    </w:p>
    <w:p w14:paraId="0557FA31" w14:textId="109A3D38" w:rsidR="00C24B94" w:rsidRPr="00B2130A" w:rsidRDefault="00E80C9A" w:rsidP="00B2130A">
      <w:pPr>
        <w:pStyle w:val="Zkladntext22"/>
        <w:tabs>
          <w:tab w:val="clear" w:pos="8931"/>
        </w:tabs>
        <w:ind w:firstLine="0"/>
        <w:rPr>
          <w:rFonts w:ascii="Calibri Light" w:hAnsi="Calibri Light" w:cs="Calibri Light"/>
          <w:sz w:val="24"/>
          <w:szCs w:val="24"/>
        </w:rPr>
      </w:pPr>
      <w:r w:rsidRPr="003555D7">
        <w:rPr>
          <w:rFonts w:ascii="Calibri Light" w:hAnsi="Calibri Light" w:cs="Calibri Light"/>
          <w:sz w:val="24"/>
          <w:szCs w:val="24"/>
        </w:rPr>
        <w:t xml:space="preserve"> 20</w:t>
      </w:r>
      <w:r>
        <w:rPr>
          <w:rFonts w:ascii="Calibri Light" w:hAnsi="Calibri Light" w:cs="Calibri Light"/>
          <w:sz w:val="24"/>
          <w:szCs w:val="24"/>
        </w:rPr>
        <w:t>2</w:t>
      </w:r>
      <w:r w:rsidR="00F23A69">
        <w:rPr>
          <w:rFonts w:ascii="Calibri Light" w:hAnsi="Calibri Light" w:cs="Calibri Light"/>
          <w:sz w:val="24"/>
          <w:szCs w:val="24"/>
        </w:rPr>
        <w:t>4</w:t>
      </w:r>
    </w:p>
    <w:sectPr w:rsidR="00C24B94" w:rsidRPr="00B2130A" w:rsidSect="00485664">
      <w:headerReference w:type="default" r:id="rId8"/>
      <w:footerReference w:type="even" r:id="rId9"/>
      <w:footerReference w:type="default" r:id="rId10"/>
      <w:pgSz w:w="11906" w:h="16838"/>
      <w:pgMar w:top="1418" w:right="1418" w:bottom="1134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A1465" w14:textId="77777777" w:rsidR="009774E5" w:rsidRDefault="009774E5">
      <w:r>
        <w:separator/>
      </w:r>
    </w:p>
  </w:endnote>
  <w:endnote w:type="continuationSeparator" w:id="0">
    <w:p w14:paraId="5AB618F4" w14:textId="77777777" w:rsidR="009774E5" w:rsidRDefault="0097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75AC1" w14:textId="77777777" w:rsidR="001C3915" w:rsidRDefault="001C3915" w:rsidP="00D059F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14115EC8" w14:textId="77777777" w:rsidR="001C3915" w:rsidRDefault="001C391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BE431" w14:textId="77777777" w:rsidR="001C3915" w:rsidRDefault="001C3915" w:rsidP="00D059F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B4EB0">
      <w:rPr>
        <w:rStyle w:val="slostrnky"/>
        <w:noProof/>
      </w:rPr>
      <w:t>9</w:t>
    </w:r>
    <w:r>
      <w:rPr>
        <w:rStyle w:val="slostrnky"/>
      </w:rPr>
      <w:fldChar w:fldCharType="end"/>
    </w:r>
  </w:p>
  <w:p w14:paraId="5A2DEF4F" w14:textId="77777777" w:rsidR="001C3915" w:rsidRDefault="001C391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22AF1" w14:textId="77777777" w:rsidR="009774E5" w:rsidRDefault="009774E5">
      <w:r>
        <w:separator/>
      </w:r>
    </w:p>
  </w:footnote>
  <w:footnote w:type="continuationSeparator" w:id="0">
    <w:p w14:paraId="60A1EFBF" w14:textId="77777777" w:rsidR="009774E5" w:rsidRDefault="0097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B58" w14:textId="60B87C90" w:rsidR="001C3915" w:rsidRDefault="001264A5" w:rsidP="00560C5E">
    <w:pPr>
      <w:pStyle w:val="Zhlav"/>
      <w:spacing w:line="240" w:lineRule="auto"/>
      <w:rPr>
        <w:rFonts w:ascii="Calibri Light" w:hAnsi="Calibri Light" w:cs="Calibri Light"/>
        <w:sz w:val="18"/>
        <w:szCs w:val="18"/>
      </w:rPr>
    </w:pPr>
    <w:r>
      <w:rPr>
        <w:rFonts w:ascii="Calibri Light" w:hAnsi="Calibri Light" w:cs="Calibri Light"/>
        <w:b/>
        <w:sz w:val="18"/>
        <w:szCs w:val="18"/>
      </w:rPr>
      <w:t xml:space="preserve">Rekonstrukce </w:t>
    </w:r>
    <w:r w:rsidR="005346C0">
      <w:rPr>
        <w:rFonts w:ascii="Calibri Light" w:hAnsi="Calibri Light" w:cs="Calibri Light"/>
        <w:b/>
        <w:sz w:val="18"/>
        <w:szCs w:val="18"/>
      </w:rPr>
      <w:t>interiéru radnice ve Žďáru nad Sázavou</w:t>
    </w:r>
  </w:p>
  <w:p w14:paraId="084127E0" w14:textId="13C4221B" w:rsidR="00E97433" w:rsidRPr="00E97433" w:rsidRDefault="005346C0" w:rsidP="00560C5E">
    <w:pPr>
      <w:pStyle w:val="Zhlav"/>
      <w:spacing w:line="240" w:lineRule="auto"/>
      <w:rPr>
        <w:rFonts w:ascii="Calibri Light" w:hAnsi="Calibri Light" w:cs="Calibri Light"/>
        <w:sz w:val="18"/>
        <w:szCs w:val="18"/>
      </w:rPr>
    </w:pPr>
    <w:r>
      <w:rPr>
        <w:rFonts w:ascii="Calibri Light" w:hAnsi="Calibri Light" w:cs="Calibri Light"/>
        <w:sz w:val="18"/>
        <w:szCs w:val="18"/>
      </w:rPr>
      <w:t>Slaboproudá elektrotechnika</w:t>
    </w:r>
  </w:p>
  <w:p w14:paraId="52A5B6C0" w14:textId="77777777" w:rsidR="001C3915" w:rsidRPr="005666E3" w:rsidRDefault="001C3915" w:rsidP="005666E3">
    <w:pPr>
      <w:pStyle w:val="Zhlav"/>
      <w:spacing w:line="240" w:lineRule="auto"/>
      <w:jc w:val="right"/>
      <w:rPr>
        <w:rFonts w:ascii="Calibri Light" w:hAnsi="Calibri Light" w:cs="Calibri Light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D3AD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570F09"/>
    <w:multiLevelType w:val="hybridMultilevel"/>
    <w:tmpl w:val="49084D72"/>
    <w:lvl w:ilvl="0" w:tplc="B8F89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0EE5"/>
    <w:multiLevelType w:val="hybridMultilevel"/>
    <w:tmpl w:val="1A629A7E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D439B"/>
    <w:multiLevelType w:val="hybridMultilevel"/>
    <w:tmpl w:val="2228CC6A"/>
    <w:lvl w:ilvl="0" w:tplc="4C3E574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219DE"/>
    <w:multiLevelType w:val="hybridMultilevel"/>
    <w:tmpl w:val="C83080B2"/>
    <w:lvl w:ilvl="0" w:tplc="FE5CADD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E08AA"/>
    <w:multiLevelType w:val="hybridMultilevel"/>
    <w:tmpl w:val="4670B1BC"/>
    <w:lvl w:ilvl="0" w:tplc="08B67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EFF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8E9D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D8F1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AA5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26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1227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5255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D21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11334D"/>
    <w:multiLevelType w:val="hybridMultilevel"/>
    <w:tmpl w:val="ED9AAD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D6149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5892C0A"/>
    <w:multiLevelType w:val="hybridMultilevel"/>
    <w:tmpl w:val="E9528314"/>
    <w:lvl w:ilvl="0" w:tplc="0E1A479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7C033D7"/>
    <w:multiLevelType w:val="hybridMultilevel"/>
    <w:tmpl w:val="AD926B2E"/>
    <w:lvl w:ilvl="0" w:tplc="DFB6E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DA3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86FC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FCF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9A46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CEB5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9A52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848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784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F2B61"/>
    <w:multiLevelType w:val="singleLevel"/>
    <w:tmpl w:val="565EC9FE"/>
    <w:lvl w:ilvl="0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6A62D01"/>
    <w:multiLevelType w:val="hybridMultilevel"/>
    <w:tmpl w:val="E56E7148"/>
    <w:lvl w:ilvl="0" w:tplc="0B5402A6"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3A2B5560"/>
    <w:multiLevelType w:val="multilevel"/>
    <w:tmpl w:val="1A50C74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13" w15:restartNumberingAfterBreak="0">
    <w:nsid w:val="3A36645A"/>
    <w:multiLevelType w:val="hybridMultilevel"/>
    <w:tmpl w:val="E8EEB25E"/>
    <w:lvl w:ilvl="0" w:tplc="FB76A5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43D50"/>
    <w:multiLevelType w:val="hybridMultilevel"/>
    <w:tmpl w:val="C60E915C"/>
    <w:lvl w:ilvl="0" w:tplc="CDB2B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40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201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0817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BA50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809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4AC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2A0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8E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AA41FC"/>
    <w:multiLevelType w:val="hybridMultilevel"/>
    <w:tmpl w:val="50ECE412"/>
    <w:lvl w:ilvl="0" w:tplc="8F065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BB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BE8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0E6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A70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D01F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07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7A47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56E5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55728E"/>
    <w:multiLevelType w:val="hybridMultilevel"/>
    <w:tmpl w:val="97841D8E"/>
    <w:lvl w:ilvl="0" w:tplc="7D3E1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DE54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F2BC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763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664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425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A27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8A7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8CAE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F14CA"/>
    <w:multiLevelType w:val="multilevel"/>
    <w:tmpl w:val="9B522B6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76A36E5"/>
    <w:multiLevelType w:val="hybridMultilevel"/>
    <w:tmpl w:val="B672EA1E"/>
    <w:lvl w:ilvl="0" w:tplc="64D24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8CD4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4CD9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723B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684F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14D9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0C50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7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437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36C98"/>
    <w:multiLevelType w:val="hybridMultilevel"/>
    <w:tmpl w:val="0B80692E"/>
    <w:lvl w:ilvl="0" w:tplc="5EC41F3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54839"/>
    <w:multiLevelType w:val="hybridMultilevel"/>
    <w:tmpl w:val="D2A8F070"/>
    <w:lvl w:ilvl="0" w:tplc="DDAA4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CBE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239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A8C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EC21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B808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D2EF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44EC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A44E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87117A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7C5E7121"/>
    <w:multiLevelType w:val="hybridMultilevel"/>
    <w:tmpl w:val="DFE295F8"/>
    <w:lvl w:ilvl="0" w:tplc="5A303E8C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73A5F"/>
    <w:multiLevelType w:val="hybridMultilevel"/>
    <w:tmpl w:val="33081A76"/>
    <w:lvl w:ilvl="0" w:tplc="0262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608E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0E76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96D1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42D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89E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5E8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F3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D088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678412">
    <w:abstractNumId w:val="10"/>
  </w:num>
  <w:num w:numId="2" w16cid:durableId="913777762">
    <w:abstractNumId w:val="21"/>
  </w:num>
  <w:num w:numId="3" w16cid:durableId="174540253">
    <w:abstractNumId w:val="14"/>
  </w:num>
  <w:num w:numId="4" w16cid:durableId="1620067117">
    <w:abstractNumId w:val="20"/>
  </w:num>
  <w:num w:numId="5" w16cid:durableId="531721724">
    <w:abstractNumId w:val="15"/>
  </w:num>
  <w:num w:numId="6" w16cid:durableId="1109199073">
    <w:abstractNumId w:val="16"/>
  </w:num>
  <w:num w:numId="7" w16cid:durableId="777606377">
    <w:abstractNumId w:val="5"/>
  </w:num>
  <w:num w:numId="8" w16cid:durableId="1097599968">
    <w:abstractNumId w:val="23"/>
  </w:num>
  <w:num w:numId="9" w16cid:durableId="2147352638">
    <w:abstractNumId w:val="17"/>
  </w:num>
  <w:num w:numId="10" w16cid:durableId="713887482">
    <w:abstractNumId w:val="9"/>
  </w:num>
  <w:num w:numId="11" w16cid:durableId="1885864822">
    <w:abstractNumId w:val="7"/>
  </w:num>
  <w:num w:numId="12" w16cid:durableId="1117792260">
    <w:abstractNumId w:val="18"/>
  </w:num>
  <w:num w:numId="13" w16cid:durableId="418915209">
    <w:abstractNumId w:val="12"/>
  </w:num>
  <w:num w:numId="14" w16cid:durableId="2111318211">
    <w:abstractNumId w:val="0"/>
  </w:num>
  <w:num w:numId="15" w16cid:durableId="27142494">
    <w:abstractNumId w:val="2"/>
  </w:num>
  <w:num w:numId="16" w16cid:durableId="922451273">
    <w:abstractNumId w:val="11"/>
  </w:num>
  <w:num w:numId="17" w16cid:durableId="1921866227">
    <w:abstractNumId w:val="17"/>
  </w:num>
  <w:num w:numId="18" w16cid:durableId="104929097">
    <w:abstractNumId w:val="8"/>
  </w:num>
  <w:num w:numId="19" w16cid:durableId="473914918">
    <w:abstractNumId w:val="6"/>
  </w:num>
  <w:num w:numId="20" w16cid:durableId="1575167742">
    <w:abstractNumId w:val="17"/>
  </w:num>
  <w:num w:numId="21" w16cid:durableId="1642226910">
    <w:abstractNumId w:val="17"/>
  </w:num>
  <w:num w:numId="22" w16cid:durableId="1604457065">
    <w:abstractNumId w:val="17"/>
  </w:num>
  <w:num w:numId="23" w16cid:durableId="1894661203">
    <w:abstractNumId w:val="17"/>
  </w:num>
  <w:num w:numId="24" w16cid:durableId="1975408451">
    <w:abstractNumId w:val="19"/>
  </w:num>
  <w:num w:numId="25" w16cid:durableId="1060132358">
    <w:abstractNumId w:val="3"/>
  </w:num>
  <w:num w:numId="26" w16cid:durableId="232010397">
    <w:abstractNumId w:val="4"/>
  </w:num>
  <w:num w:numId="27" w16cid:durableId="857737981">
    <w:abstractNumId w:val="1"/>
  </w:num>
  <w:num w:numId="28" w16cid:durableId="1596789421">
    <w:abstractNumId w:val="13"/>
  </w:num>
  <w:num w:numId="29" w16cid:durableId="5243675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3956808">
    <w:abstractNumId w:val="17"/>
  </w:num>
  <w:num w:numId="31" w16cid:durableId="1300839993">
    <w:abstractNumId w:val="17"/>
  </w:num>
  <w:num w:numId="32" w16cid:durableId="1575625939">
    <w:abstractNumId w:val="17"/>
    <w:lvlOverride w:ilvl="0">
      <w:startOverride w:val="3"/>
    </w:lvlOverride>
    <w:lvlOverride w:ilvl="1">
      <w:startOverride w:val="4"/>
    </w:lvlOverride>
  </w:num>
  <w:num w:numId="33" w16cid:durableId="6297510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84271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108860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89"/>
    <w:rsid w:val="00003D13"/>
    <w:rsid w:val="00005FC4"/>
    <w:rsid w:val="00015B6F"/>
    <w:rsid w:val="00023401"/>
    <w:rsid w:val="00024540"/>
    <w:rsid w:val="00030390"/>
    <w:rsid w:val="00031103"/>
    <w:rsid w:val="00032EB4"/>
    <w:rsid w:val="00033F71"/>
    <w:rsid w:val="00035674"/>
    <w:rsid w:val="00036DC4"/>
    <w:rsid w:val="000441FE"/>
    <w:rsid w:val="000459A6"/>
    <w:rsid w:val="00050002"/>
    <w:rsid w:val="000513DE"/>
    <w:rsid w:val="00051782"/>
    <w:rsid w:val="0006492F"/>
    <w:rsid w:val="00065227"/>
    <w:rsid w:val="000664BE"/>
    <w:rsid w:val="00066D12"/>
    <w:rsid w:val="00073D32"/>
    <w:rsid w:val="00073EA7"/>
    <w:rsid w:val="000743AA"/>
    <w:rsid w:val="000749DD"/>
    <w:rsid w:val="00085AB6"/>
    <w:rsid w:val="00090831"/>
    <w:rsid w:val="00091042"/>
    <w:rsid w:val="0009129B"/>
    <w:rsid w:val="000B0A4E"/>
    <w:rsid w:val="000B0F04"/>
    <w:rsid w:val="000B18BC"/>
    <w:rsid w:val="000B1A0B"/>
    <w:rsid w:val="000B3D62"/>
    <w:rsid w:val="000B6AD0"/>
    <w:rsid w:val="000B702A"/>
    <w:rsid w:val="000C0DE8"/>
    <w:rsid w:val="000D4A0A"/>
    <w:rsid w:val="000D6F0C"/>
    <w:rsid w:val="000D7011"/>
    <w:rsid w:val="000E05A2"/>
    <w:rsid w:val="000E27EF"/>
    <w:rsid w:val="000E319D"/>
    <w:rsid w:val="000E4378"/>
    <w:rsid w:val="000F6693"/>
    <w:rsid w:val="000F7D2F"/>
    <w:rsid w:val="00104C14"/>
    <w:rsid w:val="00106A43"/>
    <w:rsid w:val="001070AB"/>
    <w:rsid w:val="001074CD"/>
    <w:rsid w:val="001103F9"/>
    <w:rsid w:val="001145AA"/>
    <w:rsid w:val="00115CCC"/>
    <w:rsid w:val="001205F7"/>
    <w:rsid w:val="00120EE2"/>
    <w:rsid w:val="0012130C"/>
    <w:rsid w:val="001234DF"/>
    <w:rsid w:val="0012490A"/>
    <w:rsid w:val="001264A5"/>
    <w:rsid w:val="00127D62"/>
    <w:rsid w:val="0013209A"/>
    <w:rsid w:val="001365A0"/>
    <w:rsid w:val="00140CDA"/>
    <w:rsid w:val="001411EC"/>
    <w:rsid w:val="00143ACB"/>
    <w:rsid w:val="00146FDC"/>
    <w:rsid w:val="00147765"/>
    <w:rsid w:val="00147F9E"/>
    <w:rsid w:val="00151C5D"/>
    <w:rsid w:val="001527CF"/>
    <w:rsid w:val="00156333"/>
    <w:rsid w:val="001571E2"/>
    <w:rsid w:val="001612E9"/>
    <w:rsid w:val="001614CA"/>
    <w:rsid w:val="00162061"/>
    <w:rsid w:val="00164247"/>
    <w:rsid w:val="001708E5"/>
    <w:rsid w:val="00170F8D"/>
    <w:rsid w:val="00171469"/>
    <w:rsid w:val="00171FB4"/>
    <w:rsid w:val="001727A9"/>
    <w:rsid w:val="001732D6"/>
    <w:rsid w:val="00175DB1"/>
    <w:rsid w:val="00175F4B"/>
    <w:rsid w:val="00177EE9"/>
    <w:rsid w:val="00185373"/>
    <w:rsid w:val="00187296"/>
    <w:rsid w:val="001872FA"/>
    <w:rsid w:val="00190405"/>
    <w:rsid w:val="00191220"/>
    <w:rsid w:val="001951E7"/>
    <w:rsid w:val="00196BCA"/>
    <w:rsid w:val="00197948"/>
    <w:rsid w:val="001A051C"/>
    <w:rsid w:val="001A1F7E"/>
    <w:rsid w:val="001A4E1B"/>
    <w:rsid w:val="001A6974"/>
    <w:rsid w:val="001A6DF2"/>
    <w:rsid w:val="001A7AE5"/>
    <w:rsid w:val="001B3CBC"/>
    <w:rsid w:val="001B56D9"/>
    <w:rsid w:val="001B6F65"/>
    <w:rsid w:val="001C2501"/>
    <w:rsid w:val="001C3915"/>
    <w:rsid w:val="001C7CDF"/>
    <w:rsid w:val="001D4DD9"/>
    <w:rsid w:val="001D6F57"/>
    <w:rsid w:val="001E3A81"/>
    <w:rsid w:val="001E3A8A"/>
    <w:rsid w:val="001F2455"/>
    <w:rsid w:val="001F7E48"/>
    <w:rsid w:val="00203EE1"/>
    <w:rsid w:val="00207529"/>
    <w:rsid w:val="0020768B"/>
    <w:rsid w:val="00207F4A"/>
    <w:rsid w:val="0021083D"/>
    <w:rsid w:val="0021178B"/>
    <w:rsid w:val="0021233F"/>
    <w:rsid w:val="00216B3F"/>
    <w:rsid w:val="00223CF4"/>
    <w:rsid w:val="002345AC"/>
    <w:rsid w:val="00234FFC"/>
    <w:rsid w:val="00236E20"/>
    <w:rsid w:val="00236EE9"/>
    <w:rsid w:val="00242BAC"/>
    <w:rsid w:val="00244CD2"/>
    <w:rsid w:val="0024519B"/>
    <w:rsid w:val="00245838"/>
    <w:rsid w:val="00246327"/>
    <w:rsid w:val="00247739"/>
    <w:rsid w:val="00247EC0"/>
    <w:rsid w:val="00252284"/>
    <w:rsid w:val="00254BB2"/>
    <w:rsid w:val="00262E9C"/>
    <w:rsid w:val="002647AD"/>
    <w:rsid w:val="00266E9A"/>
    <w:rsid w:val="00267C2E"/>
    <w:rsid w:val="0027009B"/>
    <w:rsid w:val="00274288"/>
    <w:rsid w:val="00275B4D"/>
    <w:rsid w:val="00280C3D"/>
    <w:rsid w:val="002848C2"/>
    <w:rsid w:val="00287311"/>
    <w:rsid w:val="002910B3"/>
    <w:rsid w:val="002919FD"/>
    <w:rsid w:val="002920F1"/>
    <w:rsid w:val="002949DB"/>
    <w:rsid w:val="00295AA0"/>
    <w:rsid w:val="002A2990"/>
    <w:rsid w:val="002A6031"/>
    <w:rsid w:val="002A68B6"/>
    <w:rsid w:val="002A71D7"/>
    <w:rsid w:val="002B0154"/>
    <w:rsid w:val="002B1C2A"/>
    <w:rsid w:val="002B3CDA"/>
    <w:rsid w:val="002B704F"/>
    <w:rsid w:val="002C074C"/>
    <w:rsid w:val="002C0E8A"/>
    <w:rsid w:val="002C2177"/>
    <w:rsid w:val="002C34C0"/>
    <w:rsid w:val="002C3D55"/>
    <w:rsid w:val="002C4F5C"/>
    <w:rsid w:val="002C520C"/>
    <w:rsid w:val="002C623B"/>
    <w:rsid w:val="002C659F"/>
    <w:rsid w:val="002C67CF"/>
    <w:rsid w:val="002C6C01"/>
    <w:rsid w:val="002D2AA1"/>
    <w:rsid w:val="002D3786"/>
    <w:rsid w:val="002D504A"/>
    <w:rsid w:val="002E2657"/>
    <w:rsid w:val="002E50AC"/>
    <w:rsid w:val="002E7B28"/>
    <w:rsid w:val="002F1823"/>
    <w:rsid w:val="002F2EDA"/>
    <w:rsid w:val="002F3EAE"/>
    <w:rsid w:val="002F5EC4"/>
    <w:rsid w:val="00310608"/>
    <w:rsid w:val="00310C70"/>
    <w:rsid w:val="00311C15"/>
    <w:rsid w:val="00312130"/>
    <w:rsid w:val="0031337E"/>
    <w:rsid w:val="003174DE"/>
    <w:rsid w:val="00317CD7"/>
    <w:rsid w:val="00317D23"/>
    <w:rsid w:val="00321F21"/>
    <w:rsid w:val="00323723"/>
    <w:rsid w:val="00324F92"/>
    <w:rsid w:val="003264FC"/>
    <w:rsid w:val="00331DA8"/>
    <w:rsid w:val="00333B0D"/>
    <w:rsid w:val="0033484F"/>
    <w:rsid w:val="00337A6C"/>
    <w:rsid w:val="003409F2"/>
    <w:rsid w:val="003411A2"/>
    <w:rsid w:val="003428BB"/>
    <w:rsid w:val="00342F07"/>
    <w:rsid w:val="00344CCD"/>
    <w:rsid w:val="00346748"/>
    <w:rsid w:val="00347451"/>
    <w:rsid w:val="0034759E"/>
    <w:rsid w:val="003517FF"/>
    <w:rsid w:val="0036253E"/>
    <w:rsid w:val="0036301C"/>
    <w:rsid w:val="003672A2"/>
    <w:rsid w:val="003676F0"/>
    <w:rsid w:val="00370E51"/>
    <w:rsid w:val="00372F7C"/>
    <w:rsid w:val="00374D2B"/>
    <w:rsid w:val="003757C7"/>
    <w:rsid w:val="0037663B"/>
    <w:rsid w:val="0038246E"/>
    <w:rsid w:val="0038442D"/>
    <w:rsid w:val="00390D57"/>
    <w:rsid w:val="003944A2"/>
    <w:rsid w:val="00396F63"/>
    <w:rsid w:val="003A0731"/>
    <w:rsid w:val="003A0C67"/>
    <w:rsid w:val="003A2B01"/>
    <w:rsid w:val="003A3373"/>
    <w:rsid w:val="003A7F97"/>
    <w:rsid w:val="003B0609"/>
    <w:rsid w:val="003B0C84"/>
    <w:rsid w:val="003B1DDB"/>
    <w:rsid w:val="003B6A48"/>
    <w:rsid w:val="003B7406"/>
    <w:rsid w:val="003C2357"/>
    <w:rsid w:val="003C5719"/>
    <w:rsid w:val="003C674F"/>
    <w:rsid w:val="003C788E"/>
    <w:rsid w:val="003D0F6B"/>
    <w:rsid w:val="003D2864"/>
    <w:rsid w:val="003D5A73"/>
    <w:rsid w:val="003D60C7"/>
    <w:rsid w:val="003D7048"/>
    <w:rsid w:val="003E0A0D"/>
    <w:rsid w:val="003E0A13"/>
    <w:rsid w:val="003E6BA1"/>
    <w:rsid w:val="003F29E0"/>
    <w:rsid w:val="003F47F5"/>
    <w:rsid w:val="003F484B"/>
    <w:rsid w:val="003F5734"/>
    <w:rsid w:val="003F66EA"/>
    <w:rsid w:val="003F6D40"/>
    <w:rsid w:val="00405DEC"/>
    <w:rsid w:val="004060BB"/>
    <w:rsid w:val="00412BE9"/>
    <w:rsid w:val="00413283"/>
    <w:rsid w:val="0041391D"/>
    <w:rsid w:val="00413A72"/>
    <w:rsid w:val="00415661"/>
    <w:rsid w:val="00415C34"/>
    <w:rsid w:val="0041629A"/>
    <w:rsid w:val="00416D15"/>
    <w:rsid w:val="00420031"/>
    <w:rsid w:val="004260F9"/>
    <w:rsid w:val="00426519"/>
    <w:rsid w:val="00434302"/>
    <w:rsid w:val="00442A7A"/>
    <w:rsid w:val="004465BE"/>
    <w:rsid w:val="004465C7"/>
    <w:rsid w:val="00451118"/>
    <w:rsid w:val="00452C5C"/>
    <w:rsid w:val="004566FB"/>
    <w:rsid w:val="0046030D"/>
    <w:rsid w:val="00462645"/>
    <w:rsid w:val="00470C98"/>
    <w:rsid w:val="004722CF"/>
    <w:rsid w:val="00474322"/>
    <w:rsid w:val="004758FC"/>
    <w:rsid w:val="00485664"/>
    <w:rsid w:val="00487E6A"/>
    <w:rsid w:val="0049627A"/>
    <w:rsid w:val="004A1955"/>
    <w:rsid w:val="004A5B48"/>
    <w:rsid w:val="004A5B5A"/>
    <w:rsid w:val="004B390D"/>
    <w:rsid w:val="004B44FD"/>
    <w:rsid w:val="004B4753"/>
    <w:rsid w:val="004B5FD8"/>
    <w:rsid w:val="004C368B"/>
    <w:rsid w:val="004C512E"/>
    <w:rsid w:val="004C7161"/>
    <w:rsid w:val="004D3738"/>
    <w:rsid w:val="004D4DA1"/>
    <w:rsid w:val="004E0249"/>
    <w:rsid w:val="004E1B04"/>
    <w:rsid w:val="004E4748"/>
    <w:rsid w:val="004F1BDC"/>
    <w:rsid w:val="004F201E"/>
    <w:rsid w:val="004F265B"/>
    <w:rsid w:val="004F2787"/>
    <w:rsid w:val="004F4C88"/>
    <w:rsid w:val="004F501D"/>
    <w:rsid w:val="004F52E3"/>
    <w:rsid w:val="004F5C6C"/>
    <w:rsid w:val="0050057E"/>
    <w:rsid w:val="005018A2"/>
    <w:rsid w:val="0050263E"/>
    <w:rsid w:val="00504A85"/>
    <w:rsid w:val="00510FE7"/>
    <w:rsid w:val="005140F1"/>
    <w:rsid w:val="00516C45"/>
    <w:rsid w:val="005216D9"/>
    <w:rsid w:val="00527137"/>
    <w:rsid w:val="005346C0"/>
    <w:rsid w:val="005354AC"/>
    <w:rsid w:val="005357F7"/>
    <w:rsid w:val="005367E2"/>
    <w:rsid w:val="00540A65"/>
    <w:rsid w:val="005424B2"/>
    <w:rsid w:val="00542FEA"/>
    <w:rsid w:val="005439EA"/>
    <w:rsid w:val="00543ECF"/>
    <w:rsid w:val="00551E6D"/>
    <w:rsid w:val="00552CC6"/>
    <w:rsid w:val="00552CC9"/>
    <w:rsid w:val="00556F6B"/>
    <w:rsid w:val="00557D98"/>
    <w:rsid w:val="00560973"/>
    <w:rsid w:val="00560C5E"/>
    <w:rsid w:val="005666E3"/>
    <w:rsid w:val="00567C6C"/>
    <w:rsid w:val="00570388"/>
    <w:rsid w:val="0057233E"/>
    <w:rsid w:val="005755CE"/>
    <w:rsid w:val="0057791B"/>
    <w:rsid w:val="005819BD"/>
    <w:rsid w:val="0058366C"/>
    <w:rsid w:val="00583E67"/>
    <w:rsid w:val="00583F86"/>
    <w:rsid w:val="00585D4F"/>
    <w:rsid w:val="00591587"/>
    <w:rsid w:val="00592A96"/>
    <w:rsid w:val="005A14DA"/>
    <w:rsid w:val="005A46EE"/>
    <w:rsid w:val="005A5775"/>
    <w:rsid w:val="005B1611"/>
    <w:rsid w:val="005B484B"/>
    <w:rsid w:val="005B63B6"/>
    <w:rsid w:val="005C0390"/>
    <w:rsid w:val="005C2778"/>
    <w:rsid w:val="005C4EBA"/>
    <w:rsid w:val="005C58DF"/>
    <w:rsid w:val="005C7F87"/>
    <w:rsid w:val="005D15C6"/>
    <w:rsid w:val="005D3666"/>
    <w:rsid w:val="005E456F"/>
    <w:rsid w:val="005E6ECE"/>
    <w:rsid w:val="005E72D3"/>
    <w:rsid w:val="005F154A"/>
    <w:rsid w:val="00612348"/>
    <w:rsid w:val="0061242C"/>
    <w:rsid w:val="00615C44"/>
    <w:rsid w:val="00617298"/>
    <w:rsid w:val="00621788"/>
    <w:rsid w:val="006221D6"/>
    <w:rsid w:val="006226CF"/>
    <w:rsid w:val="00624A7C"/>
    <w:rsid w:val="00625FAE"/>
    <w:rsid w:val="0062763E"/>
    <w:rsid w:val="006328A6"/>
    <w:rsid w:val="00632E38"/>
    <w:rsid w:val="00642057"/>
    <w:rsid w:val="0064252A"/>
    <w:rsid w:val="006467A6"/>
    <w:rsid w:val="00650E3B"/>
    <w:rsid w:val="00652E41"/>
    <w:rsid w:val="006573B6"/>
    <w:rsid w:val="00664E83"/>
    <w:rsid w:val="006659AF"/>
    <w:rsid w:val="00665CD1"/>
    <w:rsid w:val="00675D26"/>
    <w:rsid w:val="00676EB9"/>
    <w:rsid w:val="006774A3"/>
    <w:rsid w:val="00682FF2"/>
    <w:rsid w:val="00683E40"/>
    <w:rsid w:val="00684708"/>
    <w:rsid w:val="00685409"/>
    <w:rsid w:val="006875BD"/>
    <w:rsid w:val="00691034"/>
    <w:rsid w:val="0069413B"/>
    <w:rsid w:val="006963A3"/>
    <w:rsid w:val="006969DB"/>
    <w:rsid w:val="006A0AC1"/>
    <w:rsid w:val="006A2E09"/>
    <w:rsid w:val="006A3762"/>
    <w:rsid w:val="006A7B3E"/>
    <w:rsid w:val="006B1557"/>
    <w:rsid w:val="006B179F"/>
    <w:rsid w:val="006B1C73"/>
    <w:rsid w:val="006C321B"/>
    <w:rsid w:val="006C40AA"/>
    <w:rsid w:val="006C77DE"/>
    <w:rsid w:val="006D4994"/>
    <w:rsid w:val="006D5D4E"/>
    <w:rsid w:val="006D6BB5"/>
    <w:rsid w:val="006E3B7A"/>
    <w:rsid w:val="006F151E"/>
    <w:rsid w:val="006F254E"/>
    <w:rsid w:val="00700789"/>
    <w:rsid w:val="0070230E"/>
    <w:rsid w:val="0070234C"/>
    <w:rsid w:val="00704F5E"/>
    <w:rsid w:val="00707C19"/>
    <w:rsid w:val="00710925"/>
    <w:rsid w:val="007128E6"/>
    <w:rsid w:val="00712E3E"/>
    <w:rsid w:val="00716280"/>
    <w:rsid w:val="00716B45"/>
    <w:rsid w:val="00717A44"/>
    <w:rsid w:val="00722BBB"/>
    <w:rsid w:val="0072484C"/>
    <w:rsid w:val="007252BF"/>
    <w:rsid w:val="00731C98"/>
    <w:rsid w:val="00731F4B"/>
    <w:rsid w:val="00733933"/>
    <w:rsid w:val="00734F19"/>
    <w:rsid w:val="007350C2"/>
    <w:rsid w:val="0073547D"/>
    <w:rsid w:val="0074210C"/>
    <w:rsid w:val="0074337B"/>
    <w:rsid w:val="00743DEB"/>
    <w:rsid w:val="00745D26"/>
    <w:rsid w:val="00750682"/>
    <w:rsid w:val="007544B7"/>
    <w:rsid w:val="00761F4F"/>
    <w:rsid w:val="00763ADD"/>
    <w:rsid w:val="007654D9"/>
    <w:rsid w:val="00772EE7"/>
    <w:rsid w:val="00774A4F"/>
    <w:rsid w:val="007757D2"/>
    <w:rsid w:val="0078107A"/>
    <w:rsid w:val="00784D2A"/>
    <w:rsid w:val="00786FED"/>
    <w:rsid w:val="00790870"/>
    <w:rsid w:val="007A0AAD"/>
    <w:rsid w:val="007A4F89"/>
    <w:rsid w:val="007A4FFF"/>
    <w:rsid w:val="007A540F"/>
    <w:rsid w:val="007A6707"/>
    <w:rsid w:val="007B3E67"/>
    <w:rsid w:val="007B4EB0"/>
    <w:rsid w:val="007B5339"/>
    <w:rsid w:val="007C10E3"/>
    <w:rsid w:val="007C4EF0"/>
    <w:rsid w:val="007C6757"/>
    <w:rsid w:val="007C71EB"/>
    <w:rsid w:val="007D7530"/>
    <w:rsid w:val="007E1813"/>
    <w:rsid w:val="007E4058"/>
    <w:rsid w:val="007E4BC3"/>
    <w:rsid w:val="007E7433"/>
    <w:rsid w:val="007F1FA7"/>
    <w:rsid w:val="007F6FFE"/>
    <w:rsid w:val="007F7311"/>
    <w:rsid w:val="00802232"/>
    <w:rsid w:val="00802508"/>
    <w:rsid w:val="00803674"/>
    <w:rsid w:val="00804389"/>
    <w:rsid w:val="00807D7C"/>
    <w:rsid w:val="00816DBE"/>
    <w:rsid w:val="008227DA"/>
    <w:rsid w:val="00822D4F"/>
    <w:rsid w:val="00827C8F"/>
    <w:rsid w:val="00830C26"/>
    <w:rsid w:val="00833C8A"/>
    <w:rsid w:val="00835ADE"/>
    <w:rsid w:val="00843B17"/>
    <w:rsid w:val="00844E79"/>
    <w:rsid w:val="00846F9A"/>
    <w:rsid w:val="00850548"/>
    <w:rsid w:val="00854B2B"/>
    <w:rsid w:val="00855A8F"/>
    <w:rsid w:val="00860F61"/>
    <w:rsid w:val="00861D89"/>
    <w:rsid w:val="00863BC0"/>
    <w:rsid w:val="00864AB4"/>
    <w:rsid w:val="00871C41"/>
    <w:rsid w:val="0087202C"/>
    <w:rsid w:val="00873AF8"/>
    <w:rsid w:val="00876841"/>
    <w:rsid w:val="0087710A"/>
    <w:rsid w:val="008800E8"/>
    <w:rsid w:val="00881FF3"/>
    <w:rsid w:val="00886367"/>
    <w:rsid w:val="0089133A"/>
    <w:rsid w:val="00891950"/>
    <w:rsid w:val="0089228F"/>
    <w:rsid w:val="008928A9"/>
    <w:rsid w:val="00897743"/>
    <w:rsid w:val="008A5389"/>
    <w:rsid w:val="008A5AC2"/>
    <w:rsid w:val="008A61AF"/>
    <w:rsid w:val="008A65DB"/>
    <w:rsid w:val="008A66E5"/>
    <w:rsid w:val="008A6B50"/>
    <w:rsid w:val="008A783B"/>
    <w:rsid w:val="008B3F72"/>
    <w:rsid w:val="008C2491"/>
    <w:rsid w:val="008C4193"/>
    <w:rsid w:val="008D2D1B"/>
    <w:rsid w:val="008D6193"/>
    <w:rsid w:val="008E756D"/>
    <w:rsid w:val="008F1E23"/>
    <w:rsid w:val="008F3C06"/>
    <w:rsid w:val="008F4C54"/>
    <w:rsid w:val="00902C7D"/>
    <w:rsid w:val="00903A17"/>
    <w:rsid w:val="0090437D"/>
    <w:rsid w:val="009107C1"/>
    <w:rsid w:val="0091091A"/>
    <w:rsid w:val="00916847"/>
    <w:rsid w:val="009172C8"/>
    <w:rsid w:val="009214E7"/>
    <w:rsid w:val="00925B90"/>
    <w:rsid w:val="0093576B"/>
    <w:rsid w:val="0093755F"/>
    <w:rsid w:val="00941D84"/>
    <w:rsid w:val="00942087"/>
    <w:rsid w:val="0094383D"/>
    <w:rsid w:val="00952AF0"/>
    <w:rsid w:val="00952CDE"/>
    <w:rsid w:val="00954C2C"/>
    <w:rsid w:val="00955AFF"/>
    <w:rsid w:val="009563D2"/>
    <w:rsid w:val="0096244E"/>
    <w:rsid w:val="00967A35"/>
    <w:rsid w:val="009736B6"/>
    <w:rsid w:val="00975853"/>
    <w:rsid w:val="00975FB1"/>
    <w:rsid w:val="009774E5"/>
    <w:rsid w:val="00980888"/>
    <w:rsid w:val="00982C9D"/>
    <w:rsid w:val="00982E04"/>
    <w:rsid w:val="00982E9D"/>
    <w:rsid w:val="009915BB"/>
    <w:rsid w:val="009A1092"/>
    <w:rsid w:val="009A4408"/>
    <w:rsid w:val="009A6B9B"/>
    <w:rsid w:val="009B237B"/>
    <w:rsid w:val="009B46FB"/>
    <w:rsid w:val="009B7152"/>
    <w:rsid w:val="009B728C"/>
    <w:rsid w:val="009B79FB"/>
    <w:rsid w:val="009C525B"/>
    <w:rsid w:val="009C53BC"/>
    <w:rsid w:val="009D3111"/>
    <w:rsid w:val="009D462F"/>
    <w:rsid w:val="009D50D7"/>
    <w:rsid w:val="009E4881"/>
    <w:rsid w:val="009E5325"/>
    <w:rsid w:val="009E72ED"/>
    <w:rsid w:val="009F0232"/>
    <w:rsid w:val="009F1279"/>
    <w:rsid w:val="009F1DF7"/>
    <w:rsid w:val="009F4998"/>
    <w:rsid w:val="009F7B28"/>
    <w:rsid w:val="00A030CD"/>
    <w:rsid w:val="00A078F0"/>
    <w:rsid w:val="00A07AA5"/>
    <w:rsid w:val="00A11F8E"/>
    <w:rsid w:val="00A1368D"/>
    <w:rsid w:val="00A175B8"/>
    <w:rsid w:val="00A2137D"/>
    <w:rsid w:val="00A2205B"/>
    <w:rsid w:val="00A23228"/>
    <w:rsid w:val="00A269FC"/>
    <w:rsid w:val="00A33DE1"/>
    <w:rsid w:val="00A34244"/>
    <w:rsid w:val="00A3681B"/>
    <w:rsid w:val="00A37308"/>
    <w:rsid w:val="00A3759F"/>
    <w:rsid w:val="00A4070B"/>
    <w:rsid w:val="00A45EB1"/>
    <w:rsid w:val="00A46FCF"/>
    <w:rsid w:val="00A47020"/>
    <w:rsid w:val="00A529E8"/>
    <w:rsid w:val="00A546C3"/>
    <w:rsid w:val="00A55932"/>
    <w:rsid w:val="00A6580A"/>
    <w:rsid w:val="00A700AA"/>
    <w:rsid w:val="00A706ED"/>
    <w:rsid w:val="00A70955"/>
    <w:rsid w:val="00A72AB1"/>
    <w:rsid w:val="00A72D6A"/>
    <w:rsid w:val="00A731CA"/>
    <w:rsid w:val="00A73A5C"/>
    <w:rsid w:val="00A80717"/>
    <w:rsid w:val="00A81040"/>
    <w:rsid w:val="00A82C90"/>
    <w:rsid w:val="00A86B5E"/>
    <w:rsid w:val="00A903C4"/>
    <w:rsid w:val="00A9135A"/>
    <w:rsid w:val="00A92085"/>
    <w:rsid w:val="00A92DDC"/>
    <w:rsid w:val="00A940B6"/>
    <w:rsid w:val="00AA0C46"/>
    <w:rsid w:val="00AA2A4E"/>
    <w:rsid w:val="00AB2B01"/>
    <w:rsid w:val="00AB5AAE"/>
    <w:rsid w:val="00AC4B1B"/>
    <w:rsid w:val="00AC65F8"/>
    <w:rsid w:val="00AC7E13"/>
    <w:rsid w:val="00AD043B"/>
    <w:rsid w:val="00AD0FE6"/>
    <w:rsid w:val="00AE7A8F"/>
    <w:rsid w:val="00AF65A5"/>
    <w:rsid w:val="00B004A1"/>
    <w:rsid w:val="00B0158C"/>
    <w:rsid w:val="00B0488B"/>
    <w:rsid w:val="00B14C4A"/>
    <w:rsid w:val="00B1659A"/>
    <w:rsid w:val="00B17591"/>
    <w:rsid w:val="00B2130A"/>
    <w:rsid w:val="00B215F4"/>
    <w:rsid w:val="00B21765"/>
    <w:rsid w:val="00B226D7"/>
    <w:rsid w:val="00B23843"/>
    <w:rsid w:val="00B25142"/>
    <w:rsid w:val="00B332F9"/>
    <w:rsid w:val="00B36451"/>
    <w:rsid w:val="00B36F2A"/>
    <w:rsid w:val="00B412FE"/>
    <w:rsid w:val="00B41E4C"/>
    <w:rsid w:val="00B455F7"/>
    <w:rsid w:val="00B45AD4"/>
    <w:rsid w:val="00B535F5"/>
    <w:rsid w:val="00B53C02"/>
    <w:rsid w:val="00B54FDC"/>
    <w:rsid w:val="00B5577A"/>
    <w:rsid w:val="00B5635D"/>
    <w:rsid w:val="00B61489"/>
    <w:rsid w:val="00B6246E"/>
    <w:rsid w:val="00B66E63"/>
    <w:rsid w:val="00B718F9"/>
    <w:rsid w:val="00B73CB1"/>
    <w:rsid w:val="00B73D8E"/>
    <w:rsid w:val="00B751B0"/>
    <w:rsid w:val="00B77F7B"/>
    <w:rsid w:val="00B83466"/>
    <w:rsid w:val="00B875BD"/>
    <w:rsid w:val="00B92BB7"/>
    <w:rsid w:val="00B94895"/>
    <w:rsid w:val="00B96213"/>
    <w:rsid w:val="00B96A2C"/>
    <w:rsid w:val="00BA3CFB"/>
    <w:rsid w:val="00BA7024"/>
    <w:rsid w:val="00BA7DBB"/>
    <w:rsid w:val="00BB0015"/>
    <w:rsid w:val="00BB0658"/>
    <w:rsid w:val="00BB1F27"/>
    <w:rsid w:val="00BB4B98"/>
    <w:rsid w:val="00BB737F"/>
    <w:rsid w:val="00BC3E30"/>
    <w:rsid w:val="00BC643A"/>
    <w:rsid w:val="00BC6D6C"/>
    <w:rsid w:val="00BD1ACA"/>
    <w:rsid w:val="00BD313E"/>
    <w:rsid w:val="00BE3E13"/>
    <w:rsid w:val="00BE435B"/>
    <w:rsid w:val="00BE61AD"/>
    <w:rsid w:val="00BF13D4"/>
    <w:rsid w:val="00BF23AB"/>
    <w:rsid w:val="00BF48CA"/>
    <w:rsid w:val="00BF70AF"/>
    <w:rsid w:val="00C01E15"/>
    <w:rsid w:val="00C03CA5"/>
    <w:rsid w:val="00C03CEF"/>
    <w:rsid w:val="00C04466"/>
    <w:rsid w:val="00C07416"/>
    <w:rsid w:val="00C11681"/>
    <w:rsid w:val="00C15D4F"/>
    <w:rsid w:val="00C162A1"/>
    <w:rsid w:val="00C17DAD"/>
    <w:rsid w:val="00C22176"/>
    <w:rsid w:val="00C24A6F"/>
    <w:rsid w:val="00C24B94"/>
    <w:rsid w:val="00C279AA"/>
    <w:rsid w:val="00C30B0E"/>
    <w:rsid w:val="00C37636"/>
    <w:rsid w:val="00C4077E"/>
    <w:rsid w:val="00C4106B"/>
    <w:rsid w:val="00C41966"/>
    <w:rsid w:val="00C41C09"/>
    <w:rsid w:val="00C42F09"/>
    <w:rsid w:val="00C45023"/>
    <w:rsid w:val="00C46355"/>
    <w:rsid w:val="00C4768C"/>
    <w:rsid w:val="00C47A35"/>
    <w:rsid w:val="00C54BFB"/>
    <w:rsid w:val="00C55F10"/>
    <w:rsid w:val="00C574BB"/>
    <w:rsid w:val="00C5752F"/>
    <w:rsid w:val="00C6409B"/>
    <w:rsid w:val="00C713F0"/>
    <w:rsid w:val="00C73CD8"/>
    <w:rsid w:val="00C743B4"/>
    <w:rsid w:val="00C77037"/>
    <w:rsid w:val="00C77D28"/>
    <w:rsid w:val="00C837D8"/>
    <w:rsid w:val="00C87120"/>
    <w:rsid w:val="00C90B28"/>
    <w:rsid w:val="00C937B2"/>
    <w:rsid w:val="00CA072D"/>
    <w:rsid w:val="00CA1614"/>
    <w:rsid w:val="00CA1E5E"/>
    <w:rsid w:val="00CA4FCE"/>
    <w:rsid w:val="00CB1792"/>
    <w:rsid w:val="00CB2C17"/>
    <w:rsid w:val="00CB2DEE"/>
    <w:rsid w:val="00CB31C0"/>
    <w:rsid w:val="00CB3AAE"/>
    <w:rsid w:val="00CB4640"/>
    <w:rsid w:val="00CB5098"/>
    <w:rsid w:val="00CB6961"/>
    <w:rsid w:val="00CC071C"/>
    <w:rsid w:val="00CC1218"/>
    <w:rsid w:val="00CC19D9"/>
    <w:rsid w:val="00CC2BA1"/>
    <w:rsid w:val="00CD2EAD"/>
    <w:rsid w:val="00CD2EF3"/>
    <w:rsid w:val="00CD65AE"/>
    <w:rsid w:val="00CE0814"/>
    <w:rsid w:val="00CE61DC"/>
    <w:rsid w:val="00CE6FA0"/>
    <w:rsid w:val="00CF4919"/>
    <w:rsid w:val="00CF4FF6"/>
    <w:rsid w:val="00CF50E3"/>
    <w:rsid w:val="00CF757F"/>
    <w:rsid w:val="00D012E2"/>
    <w:rsid w:val="00D034DE"/>
    <w:rsid w:val="00D059F5"/>
    <w:rsid w:val="00D0663A"/>
    <w:rsid w:val="00D0792E"/>
    <w:rsid w:val="00D112FE"/>
    <w:rsid w:val="00D11786"/>
    <w:rsid w:val="00D11F43"/>
    <w:rsid w:val="00D127B9"/>
    <w:rsid w:val="00D14110"/>
    <w:rsid w:val="00D14715"/>
    <w:rsid w:val="00D22375"/>
    <w:rsid w:val="00D22A50"/>
    <w:rsid w:val="00D23010"/>
    <w:rsid w:val="00D24301"/>
    <w:rsid w:val="00D24919"/>
    <w:rsid w:val="00D2585B"/>
    <w:rsid w:val="00D3109E"/>
    <w:rsid w:val="00D31D86"/>
    <w:rsid w:val="00D34551"/>
    <w:rsid w:val="00D371D8"/>
    <w:rsid w:val="00D40043"/>
    <w:rsid w:val="00D425F0"/>
    <w:rsid w:val="00D46145"/>
    <w:rsid w:val="00D52E5A"/>
    <w:rsid w:val="00D613F5"/>
    <w:rsid w:val="00D61B98"/>
    <w:rsid w:val="00D643FD"/>
    <w:rsid w:val="00D708D9"/>
    <w:rsid w:val="00D71F1F"/>
    <w:rsid w:val="00D74115"/>
    <w:rsid w:val="00D77795"/>
    <w:rsid w:val="00D8095C"/>
    <w:rsid w:val="00D86576"/>
    <w:rsid w:val="00D8716B"/>
    <w:rsid w:val="00D90245"/>
    <w:rsid w:val="00D93765"/>
    <w:rsid w:val="00DA375C"/>
    <w:rsid w:val="00DA4407"/>
    <w:rsid w:val="00DA4924"/>
    <w:rsid w:val="00DA59FB"/>
    <w:rsid w:val="00DA68A9"/>
    <w:rsid w:val="00DB0B8F"/>
    <w:rsid w:val="00DB2B44"/>
    <w:rsid w:val="00DB60D0"/>
    <w:rsid w:val="00DC0ABA"/>
    <w:rsid w:val="00DC422F"/>
    <w:rsid w:val="00DC5F2A"/>
    <w:rsid w:val="00DE17FA"/>
    <w:rsid w:val="00DE4B87"/>
    <w:rsid w:val="00DF1D38"/>
    <w:rsid w:val="00DF21D3"/>
    <w:rsid w:val="00DF23F6"/>
    <w:rsid w:val="00DF303C"/>
    <w:rsid w:val="00DF4083"/>
    <w:rsid w:val="00DF7845"/>
    <w:rsid w:val="00E0092F"/>
    <w:rsid w:val="00E04A8A"/>
    <w:rsid w:val="00E04B5E"/>
    <w:rsid w:val="00E0534C"/>
    <w:rsid w:val="00E07ACD"/>
    <w:rsid w:val="00E15263"/>
    <w:rsid w:val="00E174EE"/>
    <w:rsid w:val="00E22C3C"/>
    <w:rsid w:val="00E25F50"/>
    <w:rsid w:val="00E26832"/>
    <w:rsid w:val="00E26D81"/>
    <w:rsid w:val="00E30150"/>
    <w:rsid w:val="00E309A3"/>
    <w:rsid w:val="00E31DBB"/>
    <w:rsid w:val="00E3644F"/>
    <w:rsid w:val="00E367B8"/>
    <w:rsid w:val="00E42EAE"/>
    <w:rsid w:val="00E46CE2"/>
    <w:rsid w:val="00E46EC4"/>
    <w:rsid w:val="00E473E0"/>
    <w:rsid w:val="00E526C0"/>
    <w:rsid w:val="00E53F3B"/>
    <w:rsid w:val="00E546F6"/>
    <w:rsid w:val="00E55737"/>
    <w:rsid w:val="00E56BA2"/>
    <w:rsid w:val="00E578A9"/>
    <w:rsid w:val="00E606B7"/>
    <w:rsid w:val="00E63B3B"/>
    <w:rsid w:val="00E641BF"/>
    <w:rsid w:val="00E65F19"/>
    <w:rsid w:val="00E771B4"/>
    <w:rsid w:val="00E80638"/>
    <w:rsid w:val="00E807B1"/>
    <w:rsid w:val="00E80C9A"/>
    <w:rsid w:val="00E82A9F"/>
    <w:rsid w:val="00E84AD4"/>
    <w:rsid w:val="00E861A2"/>
    <w:rsid w:val="00E90F7C"/>
    <w:rsid w:val="00E92D77"/>
    <w:rsid w:val="00E95F74"/>
    <w:rsid w:val="00E969E5"/>
    <w:rsid w:val="00E97433"/>
    <w:rsid w:val="00EA374E"/>
    <w:rsid w:val="00EA407B"/>
    <w:rsid w:val="00EB1D57"/>
    <w:rsid w:val="00EB33A2"/>
    <w:rsid w:val="00EB76D6"/>
    <w:rsid w:val="00EC2D6B"/>
    <w:rsid w:val="00EC342F"/>
    <w:rsid w:val="00EC6024"/>
    <w:rsid w:val="00ED6CA7"/>
    <w:rsid w:val="00EE5CB0"/>
    <w:rsid w:val="00EE70FC"/>
    <w:rsid w:val="00EF012D"/>
    <w:rsid w:val="00EF3085"/>
    <w:rsid w:val="00EF4C88"/>
    <w:rsid w:val="00F007B1"/>
    <w:rsid w:val="00F01942"/>
    <w:rsid w:val="00F06198"/>
    <w:rsid w:val="00F078A6"/>
    <w:rsid w:val="00F104ED"/>
    <w:rsid w:val="00F1133C"/>
    <w:rsid w:val="00F11771"/>
    <w:rsid w:val="00F12290"/>
    <w:rsid w:val="00F15325"/>
    <w:rsid w:val="00F15ADA"/>
    <w:rsid w:val="00F15BA2"/>
    <w:rsid w:val="00F15FCC"/>
    <w:rsid w:val="00F16E7B"/>
    <w:rsid w:val="00F17C9F"/>
    <w:rsid w:val="00F23A69"/>
    <w:rsid w:val="00F27084"/>
    <w:rsid w:val="00F276E0"/>
    <w:rsid w:val="00F30E79"/>
    <w:rsid w:val="00F35C1A"/>
    <w:rsid w:val="00F37D48"/>
    <w:rsid w:val="00F50545"/>
    <w:rsid w:val="00F508E0"/>
    <w:rsid w:val="00F50E0B"/>
    <w:rsid w:val="00F5129B"/>
    <w:rsid w:val="00F5204D"/>
    <w:rsid w:val="00F6036C"/>
    <w:rsid w:val="00F6202F"/>
    <w:rsid w:val="00F62625"/>
    <w:rsid w:val="00F630DC"/>
    <w:rsid w:val="00F64F9B"/>
    <w:rsid w:val="00F67576"/>
    <w:rsid w:val="00F732DB"/>
    <w:rsid w:val="00F738EE"/>
    <w:rsid w:val="00F73D32"/>
    <w:rsid w:val="00F77CEC"/>
    <w:rsid w:val="00F8104B"/>
    <w:rsid w:val="00F83B05"/>
    <w:rsid w:val="00F875BE"/>
    <w:rsid w:val="00F92B75"/>
    <w:rsid w:val="00F9305A"/>
    <w:rsid w:val="00F944A0"/>
    <w:rsid w:val="00FA1895"/>
    <w:rsid w:val="00FB188F"/>
    <w:rsid w:val="00FC22AB"/>
    <w:rsid w:val="00FD21A8"/>
    <w:rsid w:val="00FD3464"/>
    <w:rsid w:val="00FD4792"/>
    <w:rsid w:val="00FD574F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131A0"/>
  <w15:docId w15:val="{EBC9D953-BAA7-41BA-A6BC-8918220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04A8A"/>
    <w:pPr>
      <w:spacing w:line="360" w:lineRule="auto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F13D4"/>
    <w:pPr>
      <w:keepNext/>
      <w:jc w:val="both"/>
      <w:outlineLvl w:val="0"/>
    </w:pPr>
    <w:rPr>
      <w:b/>
      <w:sz w:val="26"/>
    </w:rPr>
  </w:style>
  <w:style w:type="paragraph" w:styleId="Nadpis2">
    <w:name w:val="heading 2"/>
    <w:basedOn w:val="Normln"/>
    <w:next w:val="Normln"/>
    <w:link w:val="Nadpis2Char"/>
    <w:uiPriority w:val="9"/>
    <w:qFormat/>
    <w:rsid w:val="00BF13D4"/>
    <w:pPr>
      <w:keepNext/>
      <w:jc w:val="both"/>
      <w:outlineLvl w:val="1"/>
    </w:pPr>
    <w:rPr>
      <w:bCs/>
    </w:rPr>
  </w:style>
  <w:style w:type="paragraph" w:styleId="Nadpis3">
    <w:name w:val="heading 3"/>
    <w:basedOn w:val="Normln"/>
    <w:next w:val="Normln"/>
    <w:qFormat/>
    <w:rsid w:val="00BF13D4"/>
    <w:pPr>
      <w:keepNext/>
      <w:numPr>
        <w:ilvl w:val="2"/>
        <w:numId w:val="9"/>
      </w:numPr>
      <w:spacing w:before="240" w:after="6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qFormat/>
    <w:rsid w:val="00BF13D4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F13D4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F13D4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F13D4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BF13D4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BF13D4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F13D4"/>
    <w:pPr>
      <w:jc w:val="both"/>
    </w:pPr>
  </w:style>
  <w:style w:type="paragraph" w:styleId="Textpoznpodarou">
    <w:name w:val="footnote text"/>
    <w:basedOn w:val="Normln"/>
    <w:autoRedefine/>
    <w:semiHidden/>
    <w:rsid w:val="00BF13D4"/>
    <w:pPr>
      <w:spacing w:line="240" w:lineRule="atLeast"/>
    </w:pPr>
    <w:rPr>
      <w:sz w:val="20"/>
    </w:rPr>
  </w:style>
  <w:style w:type="character" w:styleId="Znakapoznpodarou">
    <w:name w:val="footnote reference"/>
    <w:uiPriority w:val="99"/>
    <w:semiHidden/>
    <w:rsid w:val="00BF13D4"/>
    <w:rPr>
      <w:vertAlign w:val="superscript"/>
    </w:rPr>
  </w:style>
  <w:style w:type="paragraph" w:styleId="Zpat">
    <w:name w:val="footer"/>
    <w:aliases w:val=" Char"/>
    <w:basedOn w:val="Normln"/>
    <w:rsid w:val="00BF13D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F13D4"/>
  </w:style>
  <w:style w:type="paragraph" w:styleId="Zhlav">
    <w:name w:val="header"/>
    <w:basedOn w:val="Normln"/>
    <w:rsid w:val="00BF13D4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BF13D4"/>
    <w:pPr>
      <w:jc w:val="center"/>
    </w:pPr>
    <w:rPr>
      <w:sz w:val="36"/>
      <w:szCs w:val="24"/>
    </w:rPr>
  </w:style>
  <w:style w:type="paragraph" w:styleId="Normlnweb">
    <w:name w:val="Normal (Web)"/>
    <w:basedOn w:val="Normln"/>
    <w:rsid w:val="00BF13D4"/>
    <w:pPr>
      <w:spacing w:before="100" w:beforeAutospacing="1" w:after="100" w:afterAutospacing="1"/>
    </w:pPr>
    <w:rPr>
      <w:szCs w:val="24"/>
    </w:rPr>
  </w:style>
  <w:style w:type="paragraph" w:styleId="Obsah1">
    <w:name w:val="toc 1"/>
    <w:basedOn w:val="Normln"/>
    <w:next w:val="Normln"/>
    <w:autoRedefine/>
    <w:uiPriority w:val="39"/>
    <w:rsid w:val="00BF13D4"/>
  </w:style>
  <w:style w:type="paragraph" w:styleId="Obsah2">
    <w:name w:val="toc 2"/>
    <w:basedOn w:val="Normln"/>
    <w:next w:val="Normln"/>
    <w:autoRedefine/>
    <w:uiPriority w:val="39"/>
    <w:rsid w:val="00BF13D4"/>
    <w:pPr>
      <w:ind w:left="240"/>
    </w:pPr>
  </w:style>
  <w:style w:type="paragraph" w:styleId="Obsah3">
    <w:name w:val="toc 3"/>
    <w:basedOn w:val="Normln"/>
    <w:next w:val="Normln"/>
    <w:autoRedefine/>
    <w:semiHidden/>
    <w:rsid w:val="00BF13D4"/>
    <w:pPr>
      <w:ind w:left="480"/>
    </w:pPr>
  </w:style>
  <w:style w:type="paragraph" w:styleId="Obsah4">
    <w:name w:val="toc 4"/>
    <w:basedOn w:val="Normln"/>
    <w:next w:val="Normln"/>
    <w:autoRedefine/>
    <w:semiHidden/>
    <w:rsid w:val="00BF13D4"/>
    <w:pPr>
      <w:ind w:left="720"/>
    </w:pPr>
  </w:style>
  <w:style w:type="paragraph" w:styleId="Obsah5">
    <w:name w:val="toc 5"/>
    <w:basedOn w:val="Normln"/>
    <w:next w:val="Normln"/>
    <w:autoRedefine/>
    <w:semiHidden/>
    <w:rsid w:val="00BF13D4"/>
    <w:pPr>
      <w:ind w:left="960"/>
    </w:pPr>
  </w:style>
  <w:style w:type="paragraph" w:styleId="Obsah6">
    <w:name w:val="toc 6"/>
    <w:basedOn w:val="Normln"/>
    <w:next w:val="Normln"/>
    <w:autoRedefine/>
    <w:semiHidden/>
    <w:rsid w:val="00BF13D4"/>
    <w:pPr>
      <w:ind w:left="1200"/>
    </w:pPr>
  </w:style>
  <w:style w:type="paragraph" w:styleId="Obsah7">
    <w:name w:val="toc 7"/>
    <w:basedOn w:val="Normln"/>
    <w:next w:val="Normln"/>
    <w:autoRedefine/>
    <w:semiHidden/>
    <w:rsid w:val="00BF13D4"/>
    <w:pPr>
      <w:ind w:left="1440"/>
    </w:pPr>
  </w:style>
  <w:style w:type="paragraph" w:styleId="Obsah8">
    <w:name w:val="toc 8"/>
    <w:basedOn w:val="Normln"/>
    <w:next w:val="Normln"/>
    <w:autoRedefine/>
    <w:semiHidden/>
    <w:rsid w:val="00BF13D4"/>
    <w:pPr>
      <w:ind w:left="1680"/>
    </w:pPr>
  </w:style>
  <w:style w:type="paragraph" w:styleId="Obsah9">
    <w:name w:val="toc 9"/>
    <w:basedOn w:val="Normln"/>
    <w:next w:val="Normln"/>
    <w:autoRedefine/>
    <w:semiHidden/>
    <w:rsid w:val="00BF13D4"/>
    <w:pPr>
      <w:ind w:left="1920"/>
    </w:pPr>
  </w:style>
  <w:style w:type="character" w:styleId="Hypertextovodkaz">
    <w:name w:val="Hyperlink"/>
    <w:uiPriority w:val="99"/>
    <w:rsid w:val="00BF13D4"/>
    <w:rPr>
      <w:color w:val="0000FF"/>
      <w:u w:val="single"/>
    </w:rPr>
  </w:style>
  <w:style w:type="paragraph" w:styleId="Zkladntextodsazen">
    <w:name w:val="Body Text Indent"/>
    <w:basedOn w:val="Normln"/>
    <w:rsid w:val="00BF13D4"/>
    <w:pPr>
      <w:ind w:firstLine="432"/>
    </w:pPr>
  </w:style>
  <w:style w:type="paragraph" w:styleId="Zkladntextodsazen2">
    <w:name w:val="Body Text Indent 2"/>
    <w:basedOn w:val="Normln"/>
    <w:rsid w:val="00BF13D4"/>
    <w:pPr>
      <w:ind w:firstLine="426"/>
    </w:pPr>
  </w:style>
  <w:style w:type="paragraph" w:customStyle="1" w:styleId="o">
    <w:name w:val="o"/>
    <w:basedOn w:val="Normln"/>
    <w:rsid w:val="00BF13D4"/>
    <w:pPr>
      <w:spacing w:line="240" w:lineRule="auto"/>
      <w:ind w:firstLine="300"/>
      <w:jc w:val="both"/>
    </w:pPr>
    <w:rPr>
      <w:rFonts w:eastAsia="Arial Unicode MS"/>
      <w:sz w:val="26"/>
      <w:szCs w:val="26"/>
    </w:rPr>
  </w:style>
  <w:style w:type="character" w:customStyle="1" w:styleId="nazev">
    <w:name w:val="nazev"/>
    <w:basedOn w:val="Standardnpsmoodstavce"/>
    <w:rsid w:val="00BF13D4"/>
  </w:style>
  <w:style w:type="character" w:customStyle="1" w:styleId="inicialy">
    <w:name w:val="inicialy"/>
    <w:basedOn w:val="Standardnpsmoodstavce"/>
    <w:rsid w:val="00BF13D4"/>
  </w:style>
  <w:style w:type="character" w:customStyle="1" w:styleId="prijmeni">
    <w:name w:val="prijmeni"/>
    <w:basedOn w:val="Standardnpsmoodstavce"/>
    <w:rsid w:val="00BF13D4"/>
  </w:style>
  <w:style w:type="paragraph" w:customStyle="1" w:styleId="Nzev1">
    <w:name w:val="Název1"/>
    <w:basedOn w:val="Normln"/>
    <w:rsid w:val="00BF13D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Pokraovnseznamu">
    <w:name w:val="List Continue"/>
    <w:basedOn w:val="Seznam"/>
    <w:rsid w:val="00BF13D4"/>
    <w:pPr>
      <w:overflowPunct w:val="0"/>
      <w:autoSpaceDE w:val="0"/>
      <w:autoSpaceDN w:val="0"/>
      <w:adjustRightInd w:val="0"/>
      <w:spacing w:after="120" w:line="240" w:lineRule="auto"/>
      <w:ind w:left="284" w:right="851" w:firstLine="284"/>
      <w:jc w:val="both"/>
      <w:textAlignment w:val="baseline"/>
    </w:pPr>
    <w:rPr>
      <w:i/>
    </w:rPr>
  </w:style>
  <w:style w:type="paragraph" w:styleId="Seznam">
    <w:name w:val="List"/>
    <w:basedOn w:val="Normln"/>
    <w:rsid w:val="00BF13D4"/>
    <w:pPr>
      <w:ind w:left="283" w:hanging="283"/>
    </w:pPr>
  </w:style>
  <w:style w:type="paragraph" w:styleId="Zkladntext2">
    <w:name w:val="Body Text 2"/>
    <w:basedOn w:val="Normln"/>
    <w:rsid w:val="00BF13D4"/>
    <w:pPr>
      <w:suppressAutoHyphens/>
      <w:spacing w:line="240" w:lineRule="auto"/>
    </w:pPr>
    <w:rPr>
      <w:rFonts w:ascii="Arial" w:eastAsia="MS Mincho" w:hAnsi="Arial" w:cs="Arial"/>
      <w:sz w:val="20"/>
      <w:szCs w:val="24"/>
      <w:lang w:eastAsia="ar-SA"/>
    </w:rPr>
  </w:style>
  <w:style w:type="paragraph" w:styleId="slovanseznam">
    <w:name w:val="List Number"/>
    <w:basedOn w:val="Seznam"/>
    <w:rsid w:val="00BF13D4"/>
    <w:pPr>
      <w:overflowPunct w:val="0"/>
      <w:autoSpaceDE w:val="0"/>
      <w:autoSpaceDN w:val="0"/>
      <w:adjustRightInd w:val="0"/>
      <w:spacing w:before="240" w:after="60" w:line="240" w:lineRule="auto"/>
      <w:ind w:left="0" w:firstLine="0"/>
      <w:textAlignment w:val="baseline"/>
    </w:pPr>
    <w:rPr>
      <w:b/>
      <w:i/>
    </w:rPr>
  </w:style>
  <w:style w:type="paragraph" w:styleId="Prosttext">
    <w:name w:val="Plain Text"/>
    <w:basedOn w:val="Normln"/>
    <w:rsid w:val="00BF13D4"/>
    <w:pPr>
      <w:autoSpaceDE w:val="0"/>
      <w:autoSpaceDN w:val="0"/>
      <w:spacing w:line="240" w:lineRule="auto"/>
    </w:pPr>
    <w:rPr>
      <w:rFonts w:ascii="Courier New" w:hAnsi="Courier New" w:cs="Courier New"/>
      <w:sz w:val="20"/>
    </w:rPr>
  </w:style>
  <w:style w:type="paragraph" w:styleId="Zkladntext3">
    <w:name w:val="Body Text 3"/>
    <w:basedOn w:val="Normln"/>
    <w:rsid w:val="00BF13D4"/>
    <w:pPr>
      <w:spacing w:line="240" w:lineRule="auto"/>
      <w:jc w:val="center"/>
    </w:pPr>
    <w:rPr>
      <w:b/>
      <w:bCs/>
      <w:sz w:val="40"/>
    </w:rPr>
  </w:style>
  <w:style w:type="character" w:customStyle="1" w:styleId="apple-style-span">
    <w:name w:val="apple-style-span"/>
    <w:basedOn w:val="Standardnpsmoodstavce"/>
    <w:rsid w:val="001411EC"/>
  </w:style>
  <w:style w:type="paragraph" w:customStyle="1" w:styleId="Rozvrendokumentu1">
    <w:name w:val="Rozvržení dokumentu1"/>
    <w:basedOn w:val="Normln"/>
    <w:semiHidden/>
    <w:rsid w:val="005A14DA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A46F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7C71EB"/>
    <w:rPr>
      <w:b/>
      <w:sz w:val="26"/>
    </w:rPr>
  </w:style>
  <w:style w:type="character" w:customStyle="1" w:styleId="Nadpis2Char">
    <w:name w:val="Nadpis 2 Char"/>
    <w:link w:val="Nadpis2"/>
    <w:uiPriority w:val="9"/>
    <w:rsid w:val="007C71EB"/>
    <w:rPr>
      <w:bCs/>
      <w:sz w:val="24"/>
    </w:rPr>
  </w:style>
  <w:style w:type="paragraph" w:styleId="Textbubliny">
    <w:name w:val="Balloon Text"/>
    <w:basedOn w:val="Normln"/>
    <w:link w:val="TextbublinyChar"/>
    <w:rsid w:val="007C10E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C10E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0057E"/>
    <w:pPr>
      <w:ind w:left="720"/>
      <w:contextualSpacing/>
    </w:pPr>
  </w:style>
  <w:style w:type="paragraph" w:customStyle="1" w:styleId="Zkladntext21">
    <w:name w:val="Základní text 21"/>
    <w:basedOn w:val="Normln"/>
    <w:rsid w:val="00557D98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ind w:hanging="142"/>
      <w:jc w:val="both"/>
      <w:textAlignment w:val="baseline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E80C9A"/>
    <w:rPr>
      <w:sz w:val="24"/>
    </w:rPr>
  </w:style>
  <w:style w:type="character" w:customStyle="1" w:styleId="NzevChar">
    <w:name w:val="Název Char"/>
    <w:basedOn w:val="Standardnpsmoodstavce"/>
    <w:link w:val="Nzev"/>
    <w:rsid w:val="00E80C9A"/>
    <w:rPr>
      <w:sz w:val="36"/>
      <w:szCs w:val="24"/>
    </w:rPr>
  </w:style>
  <w:style w:type="paragraph" w:customStyle="1" w:styleId="Zkladntext22">
    <w:name w:val="Základní text 22"/>
    <w:basedOn w:val="Normln"/>
    <w:rsid w:val="00E80C9A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ind w:hanging="142"/>
      <w:jc w:val="both"/>
      <w:textAlignment w:val="baseline"/>
    </w:pPr>
    <w:rPr>
      <w:rFonts w:ascii="Arial" w:hAnsi="Arial"/>
      <w:sz w:val="22"/>
    </w:rPr>
  </w:style>
  <w:style w:type="paragraph" w:customStyle="1" w:styleId="-wm-msonormal">
    <w:name w:val="-wm-msonormal"/>
    <w:basedOn w:val="Normln"/>
    <w:rsid w:val="006F254E"/>
    <w:pPr>
      <w:spacing w:before="100" w:beforeAutospacing="1" w:after="100" w:afterAutospacing="1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9DFD6-58BE-4599-A1CE-1B89EDE4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7</Pages>
  <Words>1754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Komparace pol. systému Lotyšska a Litvy</vt:lpstr>
    </vt:vector>
  </TitlesOfParts>
  <Company/>
  <LinksUpToDate>false</LinksUpToDate>
  <CharactersWithSpaces>12084</CharactersWithSpaces>
  <SharedDoc>false</SharedDoc>
  <HLinks>
    <vt:vector size="108" baseType="variant"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_Toc469263114</vt:lpwstr>
      </vt:variant>
      <vt:variant>
        <vt:i4>1114170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_Toc469263113</vt:lpwstr>
      </vt:variant>
      <vt:variant>
        <vt:i4>1114170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_Toc469263112</vt:lpwstr>
      </vt:variant>
      <vt:variant>
        <vt:i4>1114170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_Toc469263111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_Toc469263110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_Toc469263109</vt:lpwstr>
      </vt:variant>
      <vt:variant>
        <vt:i4>1048634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_Toc469263108</vt:lpwstr>
      </vt:variant>
      <vt:variant>
        <vt:i4>1048634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_Toc469263107</vt:lpwstr>
      </vt:variant>
      <vt:variant>
        <vt:i4>1048634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_Toc469263106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_Toc469263105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_Toc469263104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_Toc469263103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_Toc469263102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_Toc469263101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_Toc469263100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_Toc469263099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_Toc469263098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_Toc469263097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Komparace pol. systému Lotyšska a Litvy</dc:title>
  <dc:subject>POL 712</dc:subject>
  <dc:creator>Marek Šimoník</dc:creator>
  <cp:keywords/>
  <dc:description/>
  <cp:lastModifiedBy>Marek Šimoník</cp:lastModifiedBy>
  <cp:revision>8</cp:revision>
  <cp:lastPrinted>2023-05-13T09:21:00Z</cp:lastPrinted>
  <dcterms:created xsi:type="dcterms:W3CDTF">2023-05-15T16:36:00Z</dcterms:created>
  <dcterms:modified xsi:type="dcterms:W3CDTF">2024-09-01T09:43:00Z</dcterms:modified>
</cp:coreProperties>
</file>