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658B4" w14:textId="523ED2CE" w:rsidR="00603E96" w:rsidRPr="0017545E" w:rsidRDefault="0017545E" w:rsidP="0017545E">
      <w:pPr>
        <w:rPr>
          <w:rFonts w:asciiTheme="majorHAnsi" w:hAnsiTheme="majorHAnsi" w:cstheme="majorHAnsi"/>
          <w:sz w:val="44"/>
          <w:szCs w:val="44"/>
        </w:rPr>
      </w:pPr>
      <w:bookmarkStart w:id="0" w:name="_Hlk35506976"/>
      <w:r>
        <w:rPr>
          <w:rFonts w:asciiTheme="majorHAnsi" w:hAnsiTheme="majorHAnsi" w:cstheme="majorHAnsi"/>
          <w:b/>
          <w:sz w:val="44"/>
          <w:szCs w:val="44"/>
        </w:rPr>
        <w:t>Op</w:t>
      </w:r>
      <w:r w:rsidRPr="005656EA">
        <w:rPr>
          <w:rFonts w:asciiTheme="majorHAnsi" w:hAnsiTheme="majorHAnsi" w:cstheme="majorHAnsi"/>
          <w:b/>
          <w:sz w:val="44"/>
          <w:szCs w:val="44"/>
        </w:rPr>
        <w:t xml:space="preserve">rava střechy budovy </w:t>
      </w:r>
      <w:proofErr w:type="spellStart"/>
      <w:r w:rsidRPr="005656EA">
        <w:rPr>
          <w:rFonts w:asciiTheme="majorHAnsi" w:hAnsiTheme="majorHAnsi" w:cstheme="majorHAnsi"/>
          <w:b/>
          <w:sz w:val="44"/>
          <w:szCs w:val="44"/>
        </w:rPr>
        <w:t>MěÚ</w:t>
      </w:r>
      <w:proofErr w:type="spellEnd"/>
      <w:r w:rsidRPr="005656EA">
        <w:rPr>
          <w:rFonts w:asciiTheme="majorHAnsi" w:hAnsiTheme="majorHAnsi" w:cstheme="majorHAnsi"/>
          <w:b/>
          <w:sz w:val="44"/>
          <w:szCs w:val="44"/>
        </w:rPr>
        <w:t>, Žižkova 227/1, Žďár nad Sázavou, před instalací solárních panelů (FVE)</w:t>
      </w:r>
    </w:p>
    <w:bookmarkEnd w:id="0"/>
    <w:p w14:paraId="07C5C923" w14:textId="77777777" w:rsidR="00FB3BA6" w:rsidRDefault="00FB3BA6" w:rsidP="00FB3BA6"/>
    <w:p w14:paraId="2F7D1843" w14:textId="1589EAD0" w:rsidR="000A3971" w:rsidRDefault="00FB3BA6" w:rsidP="00EA5849">
      <w:pPr>
        <w:pStyle w:val="Podnadpis"/>
      </w:pPr>
      <w:r>
        <w:t>DOKUMENTACE PRO VYDÁNÍ SPOLEČNÉHO ÚZEMNÍHO ROZHODNUTÍ A STAVEBNÍHO POVOLENÍ</w:t>
      </w:r>
    </w:p>
    <w:p w14:paraId="4FF08E4B" w14:textId="6C36A3B1" w:rsidR="00FB3BA6" w:rsidRDefault="000A3971" w:rsidP="00EA5849">
      <w:pPr>
        <w:pStyle w:val="Nzev"/>
        <w:rPr>
          <w:rStyle w:val="Siln"/>
        </w:rPr>
      </w:pPr>
      <w:r w:rsidRPr="00FB3BA6">
        <w:rPr>
          <w:rStyle w:val="Siln"/>
          <w:rFonts w:eastAsiaTheme="minorHAnsi"/>
          <w:spacing w:val="0"/>
        </w:rPr>
        <w:fldChar w:fldCharType="begin"/>
      </w:r>
      <w:r w:rsidRPr="00FB3BA6">
        <w:rPr>
          <w:rStyle w:val="Siln"/>
        </w:rPr>
        <w:instrText xml:space="preserve"> TOC \o "1-1" \n \h \z \u </w:instrText>
      </w:r>
      <w:r w:rsidRPr="00FB3BA6">
        <w:rPr>
          <w:rStyle w:val="Siln"/>
          <w:rFonts w:eastAsiaTheme="minorHAnsi"/>
          <w:spacing w:val="0"/>
        </w:rPr>
        <w:fldChar w:fldCharType="separate"/>
      </w:r>
      <w:hyperlink w:anchor="_Toc35522201" w:history="1">
        <w:r w:rsidR="00054851" w:rsidRPr="00E67BAC">
          <w:rPr>
            <w:rStyle w:val="Hypertextovodkaz"/>
            <w:noProof/>
          </w:rPr>
          <w:t>D.1.</w:t>
        </w:r>
        <w:r w:rsidR="00842E87">
          <w:rPr>
            <w:rStyle w:val="Hypertextovodkaz"/>
            <w:noProof/>
          </w:rPr>
          <w:t>1.</w:t>
        </w:r>
        <w:r w:rsidR="00054851" w:rsidRPr="00E67BAC">
          <w:rPr>
            <w:rStyle w:val="Hypertextovodkaz"/>
            <w:noProof/>
          </w:rPr>
          <w:t>1 TECHNICKÁ ZPRÁVA</w:t>
        </w:r>
      </w:hyperlink>
      <w:r w:rsidRPr="00FB3BA6">
        <w:rPr>
          <w:rStyle w:val="Siln"/>
        </w:rPr>
        <w:fldChar w:fldCharType="end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829255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C5C5EC" w14:textId="2B672AA5" w:rsidR="00EA5849" w:rsidRDefault="00EA5849">
          <w:pPr>
            <w:pStyle w:val="Nadpisobsahu"/>
          </w:pPr>
          <w:r>
            <w:t>Obsah</w:t>
          </w:r>
        </w:p>
        <w:p w14:paraId="0FD3C257" w14:textId="571E37FC" w:rsidR="00E722FD" w:rsidRDefault="00EA584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510046" w:history="1">
            <w:r w:rsidR="00E722FD" w:rsidRPr="00C2719C">
              <w:rPr>
                <w:rStyle w:val="Hypertextovodkaz"/>
                <w:noProof/>
              </w:rPr>
              <w:t>D.1.</w:t>
            </w:r>
            <w:r w:rsidR="00842E87">
              <w:rPr>
                <w:rStyle w:val="Hypertextovodkaz"/>
                <w:noProof/>
              </w:rPr>
              <w:t>1.</w:t>
            </w:r>
            <w:r w:rsidR="00E722FD" w:rsidRPr="00C2719C">
              <w:rPr>
                <w:rStyle w:val="Hypertextovodkaz"/>
                <w:noProof/>
              </w:rPr>
              <w:t>1 TECHNICKÁ ZPRÁVA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_Toc117510046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49D34218" w14:textId="7303F278" w:rsidR="00E722FD" w:rsidRDefault="00DA7C47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47" w:history="1">
            <w:r w:rsidR="00E722FD" w:rsidRPr="00C2719C">
              <w:rPr>
                <w:rStyle w:val="Hypertextovodkaz"/>
                <w:noProof/>
              </w:rPr>
              <w:t>i)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ARCHITEKTONICKÉ ŘEŠENÍ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_Toc117510047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489B7F4A" w14:textId="4FFC6846" w:rsidR="00E722FD" w:rsidRDefault="00DA7C47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48" w:history="1">
            <w:r w:rsidR="00E722FD" w:rsidRPr="00C2719C">
              <w:rPr>
                <w:rStyle w:val="Hypertextovodkaz"/>
                <w:noProof/>
              </w:rPr>
              <w:t>ii)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VÝTVARNÉ ŘEŠENÍ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_Toc117510048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106F1B4B" w14:textId="27716BBD" w:rsidR="00E722FD" w:rsidRDefault="00DA7C47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49" w:history="1">
            <w:r w:rsidR="00E722FD" w:rsidRPr="00C2719C">
              <w:rPr>
                <w:rStyle w:val="Hypertextovodkaz"/>
                <w:noProof/>
              </w:rPr>
              <w:t>iii)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MATERIÁLOVÉ ŘEŠENÍ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_Toc117510049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1176C4D2" w14:textId="1E97BFF3" w:rsidR="00E722FD" w:rsidRDefault="00DA7C47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0" w:history="1">
            <w:r w:rsidR="00E722FD" w:rsidRPr="00C2719C">
              <w:rPr>
                <w:rStyle w:val="Hypertextovodkaz"/>
                <w:noProof/>
              </w:rPr>
              <w:t>iv)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DISPOZIČNÍ ŘEŠENÍ A PROVOZNÍ ŘEŠENÍ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_Toc117510050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14696516" w14:textId="581A93E2" w:rsidR="00E722FD" w:rsidRDefault="00DA7C47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1" w:history="1">
            <w:r w:rsidR="00E722FD" w:rsidRPr="00C2719C">
              <w:rPr>
                <w:rStyle w:val="Hypertextovodkaz"/>
                <w:noProof/>
              </w:rPr>
              <w:t>v)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BEZBARIÉROVÉ UŽÍVÁNÍ STAVBY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_Toc117510051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2A57CAB2" w14:textId="63C60910" w:rsidR="00E722FD" w:rsidRDefault="00DA7C47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2" w:history="1">
            <w:r w:rsidR="00E722FD" w:rsidRPr="00C2719C">
              <w:rPr>
                <w:rStyle w:val="Hypertextovodkaz"/>
                <w:noProof/>
              </w:rPr>
              <w:t>vi)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KONSTRUKČNÍ A STAVEBNĚ-TECHNICKÉ ŘEŠENÍ A TECHNICKÉ VLASTNOSTI STAVBY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_Toc117510052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0507D001" w14:textId="7A4A915D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3" w:history="1">
            <w:r w:rsidR="00E722FD" w:rsidRPr="00C2719C">
              <w:rPr>
                <w:rStyle w:val="Hypertextovodkaz"/>
                <w:noProof/>
              </w:rPr>
              <w:t>(a)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BOURACÍ PRÁCE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_Toc117510053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17C378D4" w14:textId="34142766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4" w:history="1">
            <w:r w:rsidR="00E722FD" w:rsidRPr="00C2719C">
              <w:rPr>
                <w:rStyle w:val="Hypertextovodkaz"/>
                <w:noProof/>
              </w:rPr>
              <w:t>(b)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ZEMNÍ PRÁCE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_Toc117510054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40FF14EA" w14:textId="7ECEFED6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5" w:history="1">
            <w:r w:rsidR="00E722FD" w:rsidRPr="00C2719C">
              <w:rPr>
                <w:rStyle w:val="Hypertextovodkaz"/>
                <w:noProof/>
              </w:rPr>
              <w:t>(c)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ZÁKLADOVÉ KONSTRUKCE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_Toc117510055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14D21BD1" w14:textId="0C057490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6" w:history="1">
            <w:r w:rsidR="00E722FD" w:rsidRPr="00C2719C">
              <w:rPr>
                <w:rStyle w:val="Hypertextovodkaz"/>
                <w:noProof/>
              </w:rPr>
              <w:t>(d)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SVISLÉ KONSTRUKCE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_Toc117510056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2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5B81ED5A" w14:textId="10B30EF2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7" w:history="1">
            <w:r w:rsidR="00E722FD" w:rsidRPr="00C2719C">
              <w:rPr>
                <w:rStyle w:val="Hypertextovodkaz"/>
                <w:noProof/>
              </w:rPr>
              <w:t>(e)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VODOROVNÉ KONSTRUKCE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_Toc117510057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3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227B7A07" w14:textId="00F161B4" w:rsidR="00E722FD" w:rsidRDefault="00DA7C47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8" w:history="1">
            <w:r w:rsidR="00E722FD" w:rsidRPr="00C2719C">
              <w:rPr>
                <w:rStyle w:val="Hypertextovodkaz"/>
                <w:noProof/>
              </w:rPr>
              <w:t>(f)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STŘEŠNÍ KONSTRUKCE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_Toc117510058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3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76051A55" w14:textId="2ADD76DF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59" w:history="1">
            <w:r w:rsidR="00E722FD" w:rsidRPr="00C2719C">
              <w:rPr>
                <w:rStyle w:val="Hypertextovodkaz"/>
                <w:noProof/>
              </w:rPr>
              <w:t>(g)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VÝPLNĚ OTVORŮ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_Toc117510059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3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3CD02D22" w14:textId="064B4DF7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0" w:history="1">
            <w:r w:rsidR="00E722FD" w:rsidRPr="00C2719C">
              <w:rPr>
                <w:rStyle w:val="Hypertextovodkaz"/>
                <w:noProof/>
              </w:rPr>
              <w:t>(h)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IZOLACE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_Toc117510060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3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19604DBE" w14:textId="57D6C37A" w:rsidR="00E722FD" w:rsidRDefault="00DA7C47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1" w:history="1">
            <w:r w:rsidR="00E722FD" w:rsidRPr="00C2719C">
              <w:rPr>
                <w:rStyle w:val="Hypertextovodkaz"/>
                <w:noProof/>
              </w:rPr>
              <w:t>(i)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KLEMPÍŘSKÉ VÝROBKY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_Toc117510061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1E932414" w14:textId="1B42FAAF" w:rsidR="00E722FD" w:rsidRDefault="00DA7C47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2" w:history="1">
            <w:r w:rsidR="00E722FD" w:rsidRPr="00C2719C">
              <w:rPr>
                <w:rStyle w:val="Hypertextovodkaz"/>
                <w:noProof/>
              </w:rPr>
              <w:t>(j)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TRUHLÁŘSKÉ VÝROBKY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_Toc117510062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0DDBD3A2" w14:textId="21BC8E0C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3" w:history="1">
            <w:r w:rsidR="00E722FD" w:rsidRPr="00C2719C">
              <w:rPr>
                <w:rStyle w:val="Hypertextovodkaz"/>
                <w:noProof/>
              </w:rPr>
              <w:t>(k)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ZÁMEČNICKÉ VÝROBKY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_Toc117510063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4552A274" w14:textId="3F904657" w:rsidR="00E722FD" w:rsidRDefault="00DA7C47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4" w:history="1">
            <w:r w:rsidR="00E722FD" w:rsidRPr="00C2719C">
              <w:rPr>
                <w:rStyle w:val="Hypertextovodkaz"/>
                <w:noProof/>
              </w:rPr>
              <w:t>(l)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ÚPRAVY POVRCHŮ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_Toc117510064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0E2F0340" w14:textId="6DDF3A1B" w:rsidR="00E722FD" w:rsidRDefault="00DA7C47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5" w:history="1">
            <w:r w:rsidR="00E722FD" w:rsidRPr="00C2719C">
              <w:rPr>
                <w:rStyle w:val="Hypertextovodkaz"/>
                <w:noProof/>
              </w:rPr>
              <w:t>vii)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STAVEBNÍ FYZIKA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_Toc117510065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3C9C7030" w14:textId="4DA4C74A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6" w:history="1">
            <w:r w:rsidR="00E722FD" w:rsidRPr="00C2719C">
              <w:rPr>
                <w:rStyle w:val="Hypertextovodkaz"/>
                <w:noProof/>
              </w:rPr>
              <w:t>(a)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TEPELNÁ TECHNIKA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_Toc117510066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5888B548" w14:textId="15A3A6F2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7" w:history="1">
            <w:r w:rsidR="00E722FD" w:rsidRPr="00C2719C">
              <w:rPr>
                <w:rStyle w:val="Hypertextovodkaz"/>
                <w:noProof/>
              </w:rPr>
              <w:t>(b)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OSVĚTLENÍ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_Toc117510067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0F9F6ED0" w14:textId="68AC49BB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8" w:history="1">
            <w:r w:rsidR="00E722FD" w:rsidRPr="00C2719C">
              <w:rPr>
                <w:rStyle w:val="Hypertextovodkaz"/>
                <w:noProof/>
              </w:rPr>
              <w:t>(c)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OSLUNĚNÍ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_Toc117510068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726AEB5D" w14:textId="677AB5B9" w:rsidR="00E722FD" w:rsidRDefault="00DA7C47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69" w:history="1">
            <w:r w:rsidR="00E722FD" w:rsidRPr="00C2719C">
              <w:rPr>
                <w:rStyle w:val="Hypertextovodkaz"/>
                <w:noProof/>
              </w:rPr>
              <w:t>(d)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AKUSTIKA – HLUK a VIBRACE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_Toc117510069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0AD44BC5" w14:textId="6209F159" w:rsidR="00E722FD" w:rsidRDefault="00DA7C47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7510070" w:history="1">
            <w:r w:rsidR="00E722FD" w:rsidRPr="00C2719C">
              <w:rPr>
                <w:rStyle w:val="Hypertextovodkaz"/>
                <w:noProof/>
              </w:rPr>
              <w:t>viii)</w:t>
            </w:r>
            <w:r w:rsidR="00E722FD">
              <w:rPr>
                <w:rFonts w:eastAsiaTheme="minorEastAsia"/>
                <w:noProof/>
                <w:lang w:eastAsia="cs-CZ"/>
              </w:rPr>
              <w:tab/>
            </w:r>
            <w:r w:rsidR="00E722FD" w:rsidRPr="00C2719C">
              <w:rPr>
                <w:rStyle w:val="Hypertextovodkaz"/>
                <w:noProof/>
              </w:rPr>
              <w:t>VÝPIS POUŽITÝCH NOREM</w:t>
            </w:r>
            <w:r w:rsidR="00E722FD">
              <w:rPr>
                <w:noProof/>
                <w:webHidden/>
              </w:rPr>
              <w:tab/>
            </w:r>
            <w:r w:rsidR="00E722FD">
              <w:rPr>
                <w:noProof/>
                <w:webHidden/>
              </w:rPr>
              <w:fldChar w:fldCharType="begin"/>
            </w:r>
            <w:r w:rsidR="00E722FD">
              <w:rPr>
                <w:noProof/>
                <w:webHidden/>
              </w:rPr>
              <w:instrText xml:space="preserve"> PAGEREF _Toc117510070 \h </w:instrText>
            </w:r>
            <w:r w:rsidR="00E722FD">
              <w:rPr>
                <w:noProof/>
                <w:webHidden/>
              </w:rPr>
            </w:r>
            <w:r w:rsidR="00E722FD">
              <w:rPr>
                <w:noProof/>
                <w:webHidden/>
              </w:rPr>
              <w:fldChar w:fldCharType="separate"/>
            </w:r>
            <w:r w:rsidR="008A3274">
              <w:rPr>
                <w:noProof/>
                <w:webHidden/>
              </w:rPr>
              <w:t>4</w:t>
            </w:r>
            <w:r w:rsidR="00E722FD">
              <w:rPr>
                <w:noProof/>
                <w:webHidden/>
              </w:rPr>
              <w:fldChar w:fldCharType="end"/>
            </w:r>
          </w:hyperlink>
        </w:p>
        <w:p w14:paraId="5746DB74" w14:textId="0D6B7725" w:rsidR="00EA5849" w:rsidRDefault="00EA5849">
          <w:r>
            <w:rPr>
              <w:b/>
              <w:bCs/>
            </w:rPr>
            <w:fldChar w:fldCharType="end"/>
          </w:r>
        </w:p>
      </w:sdtContent>
    </w:sdt>
    <w:p w14:paraId="5E858D7B" w14:textId="77777777" w:rsidR="00EA5849" w:rsidRPr="00EA5849" w:rsidRDefault="00EA5849" w:rsidP="00EA5849"/>
    <w:p w14:paraId="5A8FA165" w14:textId="77777777" w:rsidR="00FB3BA6" w:rsidRPr="00FB3BA6" w:rsidRDefault="00603E96" w:rsidP="00FB3BA6">
      <w:pPr>
        <w:pStyle w:val="Podnadpis"/>
      </w:pPr>
      <w:r>
        <w:br w:type="page"/>
      </w:r>
    </w:p>
    <w:p w14:paraId="532F8AD7" w14:textId="4B493EA1" w:rsidR="00603E96" w:rsidRDefault="00054851" w:rsidP="00603E96">
      <w:pPr>
        <w:pStyle w:val="Nadpis1"/>
      </w:pPr>
      <w:bookmarkStart w:id="1" w:name="_Toc35522201"/>
      <w:bookmarkStart w:id="2" w:name="_Toc117510046"/>
      <w:r>
        <w:lastRenderedPageBreak/>
        <w:t>D.1.01 TECHNICKÁ ZPRÁVA</w:t>
      </w:r>
      <w:bookmarkEnd w:id="1"/>
      <w:bookmarkEnd w:id="2"/>
    </w:p>
    <w:p w14:paraId="2EC91F76" w14:textId="79B294AD" w:rsidR="00A143D6" w:rsidRDefault="00A143D6" w:rsidP="007E3890">
      <w:pPr>
        <w:pStyle w:val="Nadpis2"/>
        <w:numPr>
          <w:ilvl w:val="2"/>
          <w:numId w:val="8"/>
        </w:numPr>
      </w:pPr>
      <w:bookmarkStart w:id="3" w:name="_Toc117510047"/>
      <w:r>
        <w:t>ARCHITEKTONICKÉ ŘEŠENÍ</w:t>
      </w:r>
      <w:bookmarkEnd w:id="3"/>
    </w:p>
    <w:p w14:paraId="52FEB04D" w14:textId="58C6057D" w:rsidR="00712C16" w:rsidRPr="00712C16" w:rsidRDefault="00712C16" w:rsidP="007E3890">
      <w:pPr>
        <w:ind w:left="1440"/>
      </w:pPr>
      <w:r>
        <w:t>Viz B.2.2.b</w:t>
      </w:r>
    </w:p>
    <w:p w14:paraId="189FAE94" w14:textId="3FCD644E" w:rsidR="00A143D6" w:rsidRDefault="00A143D6" w:rsidP="007E3890">
      <w:pPr>
        <w:pStyle w:val="Nadpis2"/>
        <w:numPr>
          <w:ilvl w:val="2"/>
          <w:numId w:val="8"/>
        </w:numPr>
      </w:pPr>
      <w:bookmarkStart w:id="4" w:name="_Toc117510048"/>
      <w:r>
        <w:t>VÝTVARNÉ ŘEŠENÍ</w:t>
      </w:r>
      <w:bookmarkEnd w:id="4"/>
    </w:p>
    <w:p w14:paraId="458DD14A" w14:textId="2A29909C" w:rsidR="00712C16" w:rsidRPr="00712C16" w:rsidRDefault="00712C16" w:rsidP="007E3890">
      <w:pPr>
        <w:ind w:left="1440"/>
      </w:pPr>
      <w:r>
        <w:t>Nebylo řešeno</w:t>
      </w:r>
    </w:p>
    <w:p w14:paraId="2F3CB45A" w14:textId="179D827F" w:rsidR="00A143D6" w:rsidRDefault="00A143D6" w:rsidP="007E3890">
      <w:pPr>
        <w:pStyle w:val="Nadpis2"/>
        <w:numPr>
          <w:ilvl w:val="2"/>
          <w:numId w:val="8"/>
        </w:numPr>
      </w:pPr>
      <w:bookmarkStart w:id="5" w:name="_Toc117510049"/>
      <w:r>
        <w:t>MATERIÁLOVÉ ŘEŠENÍ</w:t>
      </w:r>
      <w:bookmarkEnd w:id="5"/>
    </w:p>
    <w:p w14:paraId="47DA0095" w14:textId="77777777" w:rsidR="00712C16" w:rsidRPr="00712C16" w:rsidRDefault="00712C16" w:rsidP="007E3890">
      <w:pPr>
        <w:ind w:left="1440"/>
      </w:pPr>
      <w:r>
        <w:t>Viz B.2.2.b</w:t>
      </w:r>
    </w:p>
    <w:p w14:paraId="5F4D6D5F" w14:textId="115533D1" w:rsidR="00A143D6" w:rsidRDefault="00A143D6" w:rsidP="007E3890">
      <w:pPr>
        <w:pStyle w:val="Nadpis2"/>
        <w:numPr>
          <w:ilvl w:val="2"/>
          <w:numId w:val="8"/>
        </w:numPr>
      </w:pPr>
      <w:bookmarkStart w:id="6" w:name="_Toc117510050"/>
      <w:r>
        <w:t>DISPOZIČNÍ ŘEŠENÍ A PROVOZNÍ ŘEŠENÍ</w:t>
      </w:r>
      <w:bookmarkEnd w:id="6"/>
    </w:p>
    <w:p w14:paraId="0CB18AAE" w14:textId="306B3F5B" w:rsidR="00712C16" w:rsidRPr="00712C16" w:rsidRDefault="00284E6A" w:rsidP="007E3890">
      <w:pPr>
        <w:ind w:left="1440"/>
      </w:pPr>
      <w:r>
        <w:t>Viz B.2.3</w:t>
      </w:r>
    </w:p>
    <w:p w14:paraId="26B97B57" w14:textId="5478587E" w:rsidR="00A143D6" w:rsidRDefault="00A143D6" w:rsidP="007E3890">
      <w:pPr>
        <w:pStyle w:val="Nadpis2"/>
        <w:numPr>
          <w:ilvl w:val="2"/>
          <w:numId w:val="8"/>
        </w:numPr>
      </w:pPr>
      <w:bookmarkStart w:id="7" w:name="_Toc117510051"/>
      <w:r>
        <w:t>BEZBARIÉROVÉ UŽÍVÁNÍ STAVBY</w:t>
      </w:r>
      <w:bookmarkEnd w:id="7"/>
    </w:p>
    <w:p w14:paraId="27E7ADB2" w14:textId="54AE6B95" w:rsidR="00A143D6" w:rsidRPr="00A143D6" w:rsidRDefault="00284E6A" w:rsidP="007E3890">
      <w:pPr>
        <w:ind w:left="1440"/>
      </w:pPr>
      <w:r w:rsidRPr="00284E6A">
        <w:t>Viz B.2.</w:t>
      </w:r>
      <w:r>
        <w:t>4</w:t>
      </w:r>
      <w:r w:rsidR="00712C16">
        <w:t>.</w:t>
      </w:r>
    </w:p>
    <w:p w14:paraId="53F482B9" w14:textId="2C2EEA8F" w:rsidR="00054851" w:rsidRDefault="00054851" w:rsidP="007E3890">
      <w:pPr>
        <w:pStyle w:val="Nadpis2"/>
        <w:numPr>
          <w:ilvl w:val="2"/>
          <w:numId w:val="8"/>
        </w:numPr>
      </w:pPr>
      <w:bookmarkStart w:id="8" w:name="_Toc117510052"/>
      <w:r>
        <w:t xml:space="preserve">KONSTRUKČNÍ </w:t>
      </w:r>
      <w:r w:rsidR="00A143D6">
        <w:t xml:space="preserve">A </w:t>
      </w:r>
      <w:r>
        <w:t>STAVEBN</w:t>
      </w:r>
      <w:r w:rsidR="00A143D6">
        <w:t>Ě-TECHNICKÉ</w:t>
      </w:r>
      <w:r>
        <w:t xml:space="preserve"> ŘEŠENÍ</w:t>
      </w:r>
      <w:r w:rsidR="00A143D6">
        <w:t xml:space="preserve"> A TECHNICKÉ VLASTNOSTI STAVBY</w:t>
      </w:r>
      <w:bookmarkEnd w:id="8"/>
    </w:p>
    <w:p w14:paraId="740D74AD" w14:textId="23FFC0A4" w:rsidR="0017545E" w:rsidRDefault="0017545E" w:rsidP="0017545E">
      <w:pPr>
        <w:pStyle w:val="Nadpis3"/>
        <w:numPr>
          <w:ilvl w:val="4"/>
          <w:numId w:val="8"/>
        </w:numPr>
      </w:pPr>
      <w:bookmarkStart w:id="9" w:name="_Toc117510053"/>
      <w:r>
        <w:t>BOURACÍ PRÁCE</w:t>
      </w:r>
      <w:bookmarkEnd w:id="9"/>
    </w:p>
    <w:p w14:paraId="258E0C73" w14:textId="64232315" w:rsidR="0017545E" w:rsidRDefault="0017545E" w:rsidP="0017545E">
      <w:pPr>
        <w:ind w:left="2124"/>
      </w:pPr>
      <w:r>
        <w:t xml:space="preserve">V rámci projektu je řešena demolice stávajícího střešního pláště </w:t>
      </w:r>
      <w:r w:rsidR="00E575B8">
        <w:t xml:space="preserve">včetně hromosvodu </w:t>
      </w:r>
      <w:r>
        <w:t>a jeho nahrazení.</w:t>
      </w:r>
      <w:r w:rsidR="002975F5">
        <w:t xml:space="preserve"> V celé ploše bude odejmuta střešní krytina v podobě plechové krytiny a část bednění, která bude uznána jako nevyhovující plnit svou funkci.</w:t>
      </w:r>
    </w:p>
    <w:p w14:paraId="3F002F10" w14:textId="243A9D30" w:rsidR="002975F5" w:rsidRPr="0017545E" w:rsidRDefault="002975F5" w:rsidP="0017545E">
      <w:pPr>
        <w:ind w:left="2124"/>
      </w:pPr>
      <w:r>
        <w:t>V rámci demolice se uvažuje i odstranění dvou stávajících komínů a stávajících otvorů ve střešní konstrukci.</w:t>
      </w:r>
    </w:p>
    <w:p w14:paraId="14B22F17" w14:textId="556810DE" w:rsidR="00054851" w:rsidRDefault="00054851" w:rsidP="007E3890">
      <w:pPr>
        <w:pStyle w:val="Nadpis3"/>
        <w:numPr>
          <w:ilvl w:val="4"/>
          <w:numId w:val="8"/>
        </w:numPr>
      </w:pPr>
      <w:bookmarkStart w:id="10" w:name="_Toc117510054"/>
      <w:r>
        <w:t>ZEMNÍ PRÁCE</w:t>
      </w:r>
      <w:bookmarkEnd w:id="10"/>
    </w:p>
    <w:p w14:paraId="2F91D01B" w14:textId="0BE30856" w:rsidR="00712C16" w:rsidRDefault="00E575B8" w:rsidP="007E3890">
      <w:pPr>
        <w:ind w:left="2160"/>
        <w:rPr>
          <w:color w:val="FF0000"/>
        </w:rPr>
      </w:pPr>
      <w:r w:rsidRPr="007376A0">
        <w:rPr>
          <w:color w:val="FF0000"/>
        </w:rPr>
        <w:t>Pro účely provedení napojení nových svislých částí hromosvodu na zemnící soustavu se provedou odkopy pro napojení mezi svody č.</w:t>
      </w:r>
      <w:r w:rsidR="007376A0">
        <w:rPr>
          <w:color w:val="FF0000"/>
        </w:rPr>
        <w:t xml:space="preserve"> </w:t>
      </w:r>
    </w:p>
    <w:p w14:paraId="2AF23E3B" w14:textId="7D7129DE" w:rsidR="007376A0" w:rsidRPr="007376A0" w:rsidRDefault="007376A0" w:rsidP="007376A0">
      <w:pPr>
        <w:ind w:left="2160"/>
        <w:rPr>
          <w:color w:val="FF0000"/>
        </w:rPr>
      </w:pPr>
      <w:r w:rsidRPr="007376A0">
        <w:rPr>
          <w:color w:val="FF0000"/>
        </w:rPr>
        <w:t>Objekt je opatřen stávajícím zemněním. Bude pouze doplněna dle potřeb jímacího vedení. Veškerá spojení v zemině musí být důsledně ochráněna proti korozi. Spoje budou provařeny a důkladně ochráněny proti korozi asfaltovým nátěrem, obalením a zavařením pískovanou lepenkou, případně plastovou antikorozní ochrannou páskou. Alternativně lze provést spojení šroubovými zemnícími svorkami, klínové svorky lze používat v případě úplného zalití betonem.</w:t>
      </w:r>
      <w:r>
        <w:rPr>
          <w:color w:val="FF0000"/>
        </w:rPr>
        <w:t xml:space="preserve"> </w:t>
      </w:r>
      <w:r w:rsidRPr="007376A0">
        <w:rPr>
          <w:color w:val="FF0000"/>
        </w:rPr>
        <w:t xml:space="preserve">Vývody vodičem </w:t>
      </w:r>
      <w:proofErr w:type="spellStart"/>
      <w:r w:rsidRPr="007376A0">
        <w:rPr>
          <w:color w:val="FF0000"/>
        </w:rPr>
        <w:t>FeZn</w:t>
      </w:r>
      <w:proofErr w:type="spellEnd"/>
      <w:r w:rsidRPr="007376A0">
        <w:rPr>
          <w:color w:val="FF0000"/>
        </w:rPr>
        <w:t xml:space="preserve"> pro svody jímací soustavy a hlavní ochrannou přípojnici budou vyvedeny nad terén a na styku ošetřeny proti korozi. V případě zvláště korozivního prostředí budou vývody provedeny v nerezové oceli.</w:t>
      </w:r>
      <w:r>
        <w:rPr>
          <w:color w:val="FF0000"/>
        </w:rPr>
        <w:t xml:space="preserve"> </w:t>
      </w:r>
      <w:r w:rsidRPr="007376A0">
        <w:rPr>
          <w:color w:val="FF0000"/>
        </w:rPr>
        <w:t>Celkový odpor uzemnění nesmí přesáhnout 10 Ω.</w:t>
      </w:r>
      <w:r>
        <w:rPr>
          <w:color w:val="FF0000"/>
        </w:rPr>
        <w:t xml:space="preserve"> </w:t>
      </w:r>
      <w:r w:rsidRPr="007376A0">
        <w:rPr>
          <w:color w:val="FF0000"/>
        </w:rPr>
        <w:t xml:space="preserve">Uzemnění je projektované jako ochranné a pracovní uzemnění a bude provedeno podle ČSN 33 2000-5-54 </w:t>
      </w:r>
      <w:proofErr w:type="spellStart"/>
      <w:r w:rsidRPr="007376A0">
        <w:rPr>
          <w:color w:val="FF0000"/>
        </w:rPr>
        <w:t>ed</w:t>
      </w:r>
      <w:proofErr w:type="spellEnd"/>
      <w:r w:rsidRPr="007376A0">
        <w:rPr>
          <w:color w:val="FF0000"/>
        </w:rPr>
        <w:t xml:space="preserve">. 3 a musí splňovat požadavky ČSN 33 2000-4-41 </w:t>
      </w:r>
      <w:proofErr w:type="spellStart"/>
      <w:r w:rsidRPr="007376A0">
        <w:rPr>
          <w:color w:val="FF0000"/>
        </w:rPr>
        <w:t>ed</w:t>
      </w:r>
      <w:proofErr w:type="spellEnd"/>
      <w:r w:rsidRPr="007376A0">
        <w:rPr>
          <w:color w:val="FF0000"/>
        </w:rPr>
        <w:t>. 2 odst. 413.1.3, odst. 413.1.3.N12.</w:t>
      </w:r>
    </w:p>
    <w:p w14:paraId="53F7678B" w14:textId="3D63C0EE" w:rsidR="00054851" w:rsidRDefault="00054851" w:rsidP="007E3890">
      <w:pPr>
        <w:pStyle w:val="Nadpis3"/>
        <w:numPr>
          <w:ilvl w:val="4"/>
          <w:numId w:val="8"/>
        </w:numPr>
      </w:pPr>
      <w:bookmarkStart w:id="11" w:name="_Toc117510055"/>
      <w:r>
        <w:t>ZÁKLADOVÉ KONSTRUKCE</w:t>
      </w:r>
      <w:bookmarkEnd w:id="11"/>
    </w:p>
    <w:p w14:paraId="36ED3C49" w14:textId="067C44D0" w:rsidR="00712C16" w:rsidRPr="00712C16" w:rsidRDefault="0017545E" w:rsidP="007E3890">
      <w:pPr>
        <w:ind w:left="2160"/>
      </w:pPr>
      <w:r>
        <w:t>Zůstává stávající.</w:t>
      </w:r>
    </w:p>
    <w:p w14:paraId="77E22C11" w14:textId="1ACBA3E4" w:rsidR="00054851" w:rsidRDefault="00054851" w:rsidP="007E3890">
      <w:pPr>
        <w:pStyle w:val="Nadpis3"/>
        <w:numPr>
          <w:ilvl w:val="4"/>
          <w:numId w:val="8"/>
        </w:numPr>
      </w:pPr>
      <w:bookmarkStart w:id="12" w:name="_Toc117510056"/>
      <w:r>
        <w:t>SVISLÉ KONSTRUKCE</w:t>
      </w:r>
      <w:bookmarkEnd w:id="12"/>
    </w:p>
    <w:p w14:paraId="115B1F33" w14:textId="672E8F23" w:rsidR="00712C16" w:rsidRPr="00712C16" w:rsidRDefault="0017545E" w:rsidP="007E3890">
      <w:pPr>
        <w:ind w:left="2160"/>
      </w:pPr>
      <w:r>
        <w:t>Zůstává stávající</w:t>
      </w:r>
      <w:r w:rsidR="00712C16">
        <w:t>.</w:t>
      </w:r>
    </w:p>
    <w:p w14:paraId="17260D48" w14:textId="662747DE" w:rsidR="00054851" w:rsidRDefault="00054851" w:rsidP="007E3890">
      <w:pPr>
        <w:pStyle w:val="Nadpis3"/>
        <w:numPr>
          <w:ilvl w:val="4"/>
          <w:numId w:val="8"/>
        </w:numPr>
      </w:pPr>
      <w:bookmarkStart w:id="13" w:name="_Toc117510057"/>
      <w:r>
        <w:lastRenderedPageBreak/>
        <w:t>VODOROVNÉ KONSTRUKCE</w:t>
      </w:r>
      <w:bookmarkEnd w:id="13"/>
    </w:p>
    <w:p w14:paraId="0BFCED16" w14:textId="1D78D57D" w:rsidR="00712C16" w:rsidRPr="00712C16" w:rsidRDefault="0017545E" w:rsidP="007E3890">
      <w:pPr>
        <w:ind w:left="2160"/>
      </w:pPr>
      <w:r>
        <w:t>Zůstává stávající</w:t>
      </w:r>
      <w:r w:rsidR="00DF75B1">
        <w:t>.</w:t>
      </w:r>
    </w:p>
    <w:p w14:paraId="715CA979" w14:textId="30C942FE" w:rsidR="00054851" w:rsidRDefault="00054851" w:rsidP="007E3890">
      <w:pPr>
        <w:pStyle w:val="Nadpis3"/>
        <w:numPr>
          <w:ilvl w:val="4"/>
          <w:numId w:val="8"/>
        </w:numPr>
      </w:pPr>
      <w:bookmarkStart w:id="14" w:name="_Toc117510058"/>
      <w:r>
        <w:t>STŘEŠNÍ KONSTRUKCE</w:t>
      </w:r>
      <w:bookmarkEnd w:id="14"/>
    </w:p>
    <w:p w14:paraId="341BE1CA" w14:textId="4D861580" w:rsidR="00712C16" w:rsidRDefault="0017545E" w:rsidP="007E3890">
      <w:pPr>
        <w:ind w:left="2160"/>
      </w:pPr>
      <w:r>
        <w:t>Konstrukce krovu zůstane zachována, dle statického posudku vyhoví projektovému záměru</w:t>
      </w:r>
      <w:r w:rsidR="00DF75B1">
        <w:t>.</w:t>
      </w:r>
      <w:r>
        <w:t xml:space="preserve"> Dojde k odstranění střešní krytiny v celé její ploše a k výspravě bednění v potřebné míře, která bude stanovena po odstranění plechové krytiny. </w:t>
      </w:r>
    </w:p>
    <w:p w14:paraId="2BF3BBEC" w14:textId="4439866D" w:rsidR="0017545E" w:rsidRDefault="0017545E" w:rsidP="007E3890">
      <w:pPr>
        <w:ind w:left="2160"/>
      </w:pPr>
      <w:r>
        <w:t>Prvky krovu dle podkladů od investora:</w:t>
      </w:r>
    </w:p>
    <w:p w14:paraId="7508B73B" w14:textId="07AF4B36" w:rsidR="0017545E" w:rsidRDefault="0017545E" w:rsidP="0017545E">
      <w:pPr>
        <w:ind w:left="2160"/>
      </w:pPr>
      <w:r>
        <w:t>Krokev 100/160</w:t>
      </w:r>
      <w:r>
        <w:br/>
        <w:t>Vaznice 160/200</w:t>
      </w:r>
      <w:r>
        <w:br/>
        <w:t>Pozednice 140/120</w:t>
      </w:r>
    </w:p>
    <w:p w14:paraId="6AE4FF4E" w14:textId="4D071AB0" w:rsidR="0017545E" w:rsidRPr="0032004B" w:rsidRDefault="0017545E" w:rsidP="0017545E">
      <w:pPr>
        <w:ind w:left="2160"/>
        <w:rPr>
          <w:rFonts w:cstheme="minorHAnsi"/>
        </w:rPr>
      </w:pPr>
      <w:r>
        <w:t>Prvky krovu budou prověřeny a případně vyspraveny. V místě bouraných komínu bude střešní konstrukce dodělána</w:t>
      </w:r>
      <w:r w:rsidR="002975F5">
        <w:t xml:space="preserve">, aby vyhovovala požadavkům </w:t>
      </w:r>
      <w:r w:rsidR="002975F5" w:rsidRPr="0032004B">
        <w:rPr>
          <w:rFonts w:cstheme="minorHAnsi"/>
        </w:rPr>
        <w:t xml:space="preserve">projektu. </w:t>
      </w:r>
    </w:p>
    <w:p w14:paraId="0EDE4CB7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b/>
          <w:bCs/>
          <w:color w:val="FF0000"/>
        </w:rPr>
      </w:pPr>
      <w:r w:rsidRPr="0032004B">
        <w:rPr>
          <w:rFonts w:cstheme="minorHAnsi"/>
          <w:b/>
          <w:bCs/>
          <w:color w:val="FF0000"/>
        </w:rPr>
        <w:t>S1</w:t>
      </w:r>
    </w:p>
    <w:p w14:paraId="0131C028" w14:textId="128E80BE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>PLECH OCELOVÝ</w:t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>0,5 mm</w:t>
      </w:r>
    </w:p>
    <w:p w14:paraId="6CA5706E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>-pozinkovaný lakovaný, tloušťka 0,6 mm, polyuretanový</w:t>
      </w:r>
    </w:p>
    <w:p w14:paraId="21D72B1E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 lak 50 </w:t>
      </w:r>
      <w:proofErr w:type="spellStart"/>
      <w:r w:rsidRPr="0032004B">
        <w:rPr>
          <w:rFonts w:cstheme="minorHAnsi"/>
          <w:color w:val="FF0000"/>
        </w:rPr>
        <w:t>μm</w:t>
      </w:r>
      <w:proofErr w:type="spellEnd"/>
      <w:r w:rsidRPr="0032004B">
        <w:rPr>
          <w:rFonts w:cstheme="minorHAnsi"/>
          <w:color w:val="FF0000"/>
        </w:rPr>
        <w:t xml:space="preserve"> v barvě RAL</w:t>
      </w:r>
    </w:p>
    <w:p w14:paraId="569DE65A" w14:textId="7FEDB350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>FOLIE SEPARAČNÍ A MIKROVENTILAČNÍ</w:t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>8 mm</w:t>
      </w:r>
    </w:p>
    <w:p w14:paraId="029AFD57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-vícevrstvá folie lehkého typu, s nakašírovanou </w:t>
      </w:r>
    </w:p>
    <w:p w14:paraId="0EF5A2A3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strukturovanou rohoží, materiál polypropylen, faktor </w:t>
      </w:r>
    </w:p>
    <w:p w14:paraId="006D0B42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  <w:vertAlign w:val="superscript"/>
        </w:rPr>
      </w:pPr>
      <w:r w:rsidRPr="0032004B">
        <w:rPr>
          <w:rFonts w:cstheme="minorHAnsi"/>
          <w:color w:val="FF0000"/>
        </w:rPr>
        <w:tab/>
        <w:t>difuzního odporu 33, plošná hmotnost 500 g/m</w:t>
      </w:r>
      <w:r w:rsidRPr="0032004B">
        <w:rPr>
          <w:rFonts w:cstheme="minorHAnsi"/>
          <w:color w:val="FF0000"/>
          <w:vertAlign w:val="superscript"/>
        </w:rPr>
        <w:t>2</w:t>
      </w:r>
    </w:p>
    <w:p w14:paraId="72558464" w14:textId="5D05106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>OSB 3 P+</w:t>
      </w:r>
      <w:proofErr w:type="gramStart"/>
      <w:r w:rsidRPr="0032004B">
        <w:rPr>
          <w:rFonts w:cstheme="minorHAnsi"/>
          <w:color w:val="FF0000"/>
        </w:rPr>
        <w:t>D - CELOPLOŠNÉ</w:t>
      </w:r>
      <w:proofErr w:type="gramEnd"/>
      <w:r w:rsidRPr="0032004B">
        <w:rPr>
          <w:rFonts w:cstheme="minorHAnsi"/>
          <w:color w:val="FF0000"/>
        </w:rPr>
        <w:t xml:space="preserve"> BEDNĚNÍ</w:t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>22 mm</w:t>
      </w:r>
    </w:p>
    <w:p w14:paraId="55C4F0FB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-typ OSB 3, </w:t>
      </w:r>
      <w:proofErr w:type="spellStart"/>
      <w:r w:rsidRPr="0032004B">
        <w:rPr>
          <w:rFonts w:cstheme="minorHAnsi"/>
          <w:color w:val="FF0000"/>
        </w:rPr>
        <w:t>pero+drážka</w:t>
      </w:r>
      <w:proofErr w:type="spellEnd"/>
      <w:r w:rsidRPr="0032004B">
        <w:rPr>
          <w:rFonts w:cstheme="minorHAnsi"/>
          <w:color w:val="FF0000"/>
        </w:rPr>
        <w:t xml:space="preserve">, šířka 675 mm, </w:t>
      </w:r>
    </w:p>
    <w:p w14:paraId="7F5DADEA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>délka 2500 mm, tloušťka 22 mm</w:t>
      </w:r>
    </w:p>
    <w:p w14:paraId="47E5D6F4" w14:textId="703CB3A0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 xml:space="preserve">- KONTRALATĚ KVH </w:t>
      </w:r>
      <w:proofErr w:type="spellStart"/>
      <w:r w:rsidRPr="0032004B">
        <w:rPr>
          <w:rFonts w:cstheme="minorHAnsi"/>
          <w:color w:val="FF0000"/>
        </w:rPr>
        <w:t>NSi</w:t>
      </w:r>
      <w:proofErr w:type="spellEnd"/>
      <w:r w:rsidRPr="0032004B">
        <w:rPr>
          <w:rFonts w:cstheme="minorHAnsi"/>
          <w:color w:val="FF0000"/>
        </w:rPr>
        <w:t xml:space="preserve"> 60/60</w:t>
      </w:r>
      <w:r w:rsidRPr="0032004B">
        <w:rPr>
          <w:rFonts w:cstheme="minorHAnsi"/>
          <w:color w:val="FF0000"/>
        </w:rPr>
        <w:tab/>
        <w:t>- VZDUCHOVÁ MEZERA</w:t>
      </w:r>
      <w:r w:rsidRPr="0032004B">
        <w:rPr>
          <w:rFonts w:cstheme="minorHAnsi"/>
          <w:color w:val="FF0000"/>
        </w:rPr>
        <w:tab/>
      </w:r>
      <w:r w:rsidR="002557F0">
        <w:rPr>
          <w:rFonts w:cstheme="minorHAnsi"/>
          <w:color w:val="FF0000"/>
        </w:rPr>
        <w:tab/>
      </w:r>
      <w:r w:rsidR="002557F0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>60 mm</w:t>
      </w:r>
    </w:p>
    <w:p w14:paraId="57742CAD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>-smrkové dřevo, sušená, rozměr 60/60 mm, délka 4 m</w:t>
      </w:r>
    </w:p>
    <w:p w14:paraId="1EE2C11E" w14:textId="26532180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>- DHV-difúzní fólie např. MULTI-PRO II</w:t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>0,48 mm</w:t>
      </w:r>
    </w:p>
    <w:p w14:paraId="7C174E52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-difuzní propustná folie pro doplňkové hydroizolační </w:t>
      </w:r>
    </w:p>
    <w:p w14:paraId="2524A95C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vrstvy, materiál polyester/polymer, integrované </w:t>
      </w:r>
    </w:p>
    <w:p w14:paraId="0A81F4C8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samolepící pruhy, zvýšená odolnost proti </w:t>
      </w:r>
    </w:p>
    <w:p w14:paraId="369865A3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impregnačním prostředkům dřeva, UV odolnost </w:t>
      </w:r>
    </w:p>
    <w:p w14:paraId="0F7FF4E9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 xml:space="preserve">8 týdnů, faktor difuzního odporu 42, plošná hmotnost </w:t>
      </w:r>
    </w:p>
    <w:p w14:paraId="3AE34831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FF0000"/>
        </w:rPr>
      </w:pPr>
      <w:r w:rsidRPr="0032004B">
        <w:rPr>
          <w:rFonts w:cstheme="minorHAnsi"/>
          <w:color w:val="FF0000"/>
        </w:rPr>
        <w:tab/>
        <w:t>270 g/m</w:t>
      </w:r>
      <w:r w:rsidRPr="0032004B">
        <w:rPr>
          <w:rFonts w:cstheme="minorHAnsi"/>
          <w:color w:val="FF0000"/>
          <w:vertAlign w:val="superscript"/>
        </w:rPr>
        <w:t>2</w:t>
      </w:r>
      <w:r w:rsidRPr="0032004B">
        <w:rPr>
          <w:rFonts w:cstheme="minorHAnsi"/>
          <w:color w:val="FF0000"/>
        </w:rPr>
        <w:t>, tloušťka 0,48 mm</w:t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  <w:r w:rsidRPr="0032004B">
        <w:rPr>
          <w:rFonts w:cstheme="minorHAnsi"/>
          <w:color w:val="FF0000"/>
        </w:rPr>
        <w:tab/>
      </w:r>
    </w:p>
    <w:p w14:paraId="3C554675" w14:textId="77777777" w:rsidR="0032004B" w:rsidRPr="0032004B" w:rsidRDefault="0032004B" w:rsidP="0032004B">
      <w:pPr>
        <w:autoSpaceDE w:val="0"/>
        <w:autoSpaceDN w:val="0"/>
        <w:adjustRightInd w:val="0"/>
        <w:spacing w:after="0"/>
        <w:ind w:left="1416"/>
        <w:rPr>
          <w:rFonts w:cstheme="minorHAnsi"/>
          <w:color w:val="000000"/>
        </w:rPr>
      </w:pPr>
      <w:r w:rsidRPr="0032004B">
        <w:rPr>
          <w:rFonts w:cstheme="minorHAnsi"/>
          <w:color w:val="000000"/>
        </w:rPr>
        <w:t xml:space="preserve">- STÁVAJÍCÍ STŘEŠNÍ BEDNĚNÍ </w:t>
      </w:r>
    </w:p>
    <w:p w14:paraId="2497B957" w14:textId="2BF4C2EA" w:rsidR="0032004B" w:rsidRDefault="0032004B" w:rsidP="0032004B">
      <w:pPr>
        <w:ind w:left="708" w:firstLine="708"/>
        <w:rPr>
          <w:rFonts w:cstheme="minorHAnsi"/>
          <w:color w:val="000000"/>
        </w:rPr>
      </w:pPr>
      <w:r w:rsidRPr="0032004B">
        <w:rPr>
          <w:rFonts w:cstheme="minorHAnsi"/>
          <w:color w:val="000000"/>
        </w:rPr>
        <w:t>- KROKVE</w:t>
      </w:r>
    </w:p>
    <w:p w14:paraId="13A39B07" w14:textId="3A52FE96" w:rsidR="006F6173" w:rsidRPr="006F6173" w:rsidRDefault="006F6173" w:rsidP="00661E1D">
      <w:pPr>
        <w:ind w:left="1416"/>
        <w:rPr>
          <w:rFonts w:cstheme="minorHAnsi"/>
          <w:b/>
          <w:bCs/>
        </w:rPr>
      </w:pPr>
      <w:r w:rsidRPr="006F6173">
        <w:rPr>
          <w:rFonts w:cstheme="minorHAnsi"/>
          <w:b/>
          <w:bCs/>
          <w:color w:val="000000"/>
        </w:rPr>
        <w:t>Předpokládá se hustější kotvení krytiny z důvodu budoucí instalace panelů FVE zhruba o 50 %. Běžné kotvení je pomocí příponek s roztečí max 450 mm (5ks na m</w:t>
      </w:r>
      <w:r w:rsidRPr="006F6173">
        <w:rPr>
          <w:rFonts w:cstheme="minorHAnsi"/>
          <w:b/>
          <w:bCs/>
          <w:color w:val="000000"/>
          <w:vertAlign w:val="superscript"/>
        </w:rPr>
        <w:t>2</w:t>
      </w:r>
      <w:r w:rsidRPr="006F6173">
        <w:rPr>
          <w:rFonts w:cstheme="minorHAnsi"/>
          <w:b/>
          <w:bCs/>
          <w:color w:val="000000"/>
        </w:rPr>
        <w:t>). Kotvení panelů FVE bude bez nutnosti vrtání do střešní krytiny.</w:t>
      </w:r>
    </w:p>
    <w:p w14:paraId="385059A3" w14:textId="27FDFBF2" w:rsidR="00054851" w:rsidRDefault="00054851" w:rsidP="007E3890">
      <w:pPr>
        <w:pStyle w:val="Nadpis3"/>
        <w:numPr>
          <w:ilvl w:val="4"/>
          <w:numId w:val="8"/>
        </w:numPr>
      </w:pPr>
      <w:bookmarkStart w:id="15" w:name="_Toc117510059"/>
      <w:r>
        <w:t>VÝPLNĚ OTVORŮ</w:t>
      </w:r>
      <w:bookmarkEnd w:id="15"/>
    </w:p>
    <w:p w14:paraId="6CEDEB25" w14:textId="77CCBA77" w:rsidR="00E2031F" w:rsidRPr="00E2031F" w:rsidRDefault="002975F5" w:rsidP="007E3890">
      <w:pPr>
        <w:ind w:left="2160"/>
      </w:pPr>
      <w:proofErr w:type="gramStart"/>
      <w:r>
        <w:t>Neřeší</w:t>
      </w:r>
      <w:proofErr w:type="gramEnd"/>
      <w:r>
        <w:t xml:space="preserve"> se</w:t>
      </w:r>
      <w:r w:rsidR="00E2031F">
        <w:t>.</w:t>
      </w:r>
    </w:p>
    <w:p w14:paraId="4201F100" w14:textId="32F337B9" w:rsidR="00054851" w:rsidRDefault="00054851" w:rsidP="007E3890">
      <w:pPr>
        <w:pStyle w:val="Nadpis3"/>
        <w:numPr>
          <w:ilvl w:val="4"/>
          <w:numId w:val="8"/>
        </w:numPr>
      </w:pPr>
      <w:bookmarkStart w:id="16" w:name="_Toc117510060"/>
      <w:r>
        <w:t>IZOLACE</w:t>
      </w:r>
      <w:bookmarkEnd w:id="16"/>
    </w:p>
    <w:p w14:paraId="37AD7FA9" w14:textId="6CFA6EC1" w:rsidR="00E2031F" w:rsidRPr="00E2031F" w:rsidRDefault="002975F5" w:rsidP="007E3890">
      <w:pPr>
        <w:ind w:left="2160"/>
      </w:pPr>
      <w:r>
        <w:t>Bude se jednat o střešní folie, které budou plnit funkci hydroizolace v konstrukci střechy</w:t>
      </w:r>
      <w:r w:rsidR="00E2031F">
        <w:t>.</w:t>
      </w:r>
    </w:p>
    <w:p w14:paraId="17CA5242" w14:textId="24E08723" w:rsidR="00054851" w:rsidRDefault="00054851" w:rsidP="007E3890">
      <w:pPr>
        <w:pStyle w:val="Nadpis3"/>
        <w:numPr>
          <w:ilvl w:val="4"/>
          <w:numId w:val="8"/>
        </w:numPr>
      </w:pPr>
      <w:bookmarkStart w:id="17" w:name="_Toc117510061"/>
      <w:r>
        <w:lastRenderedPageBreak/>
        <w:t>KLEMPÍŘSKÉ VÝROBKY</w:t>
      </w:r>
      <w:bookmarkEnd w:id="17"/>
    </w:p>
    <w:p w14:paraId="54AD165E" w14:textId="3DB2D8A8" w:rsidR="00E602BD" w:rsidRPr="00E602BD" w:rsidRDefault="002975F5" w:rsidP="007E3890">
      <w:pPr>
        <w:ind w:left="2160"/>
      </w:pPr>
      <w:r>
        <w:t>Jedná se o oplechování střechy v podobě úžlabí, atik, závětrných lišt a okapových svodů a žlabů</w:t>
      </w:r>
      <w:r w:rsidR="00E602BD" w:rsidRPr="00E602BD">
        <w:t>.</w:t>
      </w:r>
      <w:r>
        <w:t xml:space="preserve"> </w:t>
      </w:r>
      <w:r w:rsidR="00715449">
        <w:t>Ze stávajících klempířských výrobků se zachovají okapní žlaby a svody.</w:t>
      </w:r>
      <w:r w:rsidR="008821D7">
        <w:t xml:space="preserve"> Oplechovány budou rovněž boky atiky dle výkresu střechy a větrací šachta v po celém jejím povrchu.</w:t>
      </w:r>
    </w:p>
    <w:p w14:paraId="5D41774F" w14:textId="13EBE330" w:rsidR="00054851" w:rsidRDefault="00054851" w:rsidP="007E3890">
      <w:pPr>
        <w:pStyle w:val="Nadpis3"/>
        <w:numPr>
          <w:ilvl w:val="4"/>
          <w:numId w:val="8"/>
        </w:numPr>
      </w:pPr>
      <w:bookmarkStart w:id="18" w:name="_Toc117510062"/>
      <w:r>
        <w:t>TRUHLÁŘSKÉ VÝROBKY</w:t>
      </w:r>
      <w:bookmarkEnd w:id="18"/>
    </w:p>
    <w:p w14:paraId="5B776E92" w14:textId="0F9C0B5E" w:rsidR="00E2031F" w:rsidRPr="00E2031F" w:rsidRDefault="002975F5" w:rsidP="007E3890">
      <w:pPr>
        <w:ind w:left="2160"/>
      </w:pPr>
      <w:proofErr w:type="gramStart"/>
      <w:r>
        <w:t>Neřeší</w:t>
      </w:r>
      <w:proofErr w:type="gramEnd"/>
      <w:r>
        <w:t xml:space="preserve"> se.</w:t>
      </w:r>
    </w:p>
    <w:p w14:paraId="11A535EB" w14:textId="21571F75" w:rsidR="00054851" w:rsidRDefault="00054851" w:rsidP="007E3890">
      <w:pPr>
        <w:pStyle w:val="Nadpis3"/>
        <w:numPr>
          <w:ilvl w:val="4"/>
          <w:numId w:val="8"/>
        </w:numPr>
      </w:pPr>
      <w:bookmarkStart w:id="19" w:name="_Toc117510063"/>
      <w:r>
        <w:t>ZÁMEČNICKÉ VÝROBKY</w:t>
      </w:r>
      <w:bookmarkEnd w:id="19"/>
    </w:p>
    <w:p w14:paraId="265E91BF" w14:textId="2BDE38B2" w:rsidR="00E2031F" w:rsidRPr="00E2031F" w:rsidRDefault="00E722FD" w:rsidP="007E3890">
      <w:pPr>
        <w:ind w:left="2160"/>
      </w:pPr>
      <w:proofErr w:type="gramStart"/>
      <w:r>
        <w:t>Neřeší</w:t>
      </w:r>
      <w:proofErr w:type="gramEnd"/>
      <w:r>
        <w:t xml:space="preserve"> se.</w:t>
      </w:r>
    </w:p>
    <w:p w14:paraId="622DDE18" w14:textId="1A1AEB5F" w:rsidR="00054851" w:rsidRDefault="00054851" w:rsidP="007E3890">
      <w:pPr>
        <w:pStyle w:val="Nadpis3"/>
        <w:numPr>
          <w:ilvl w:val="4"/>
          <w:numId w:val="8"/>
        </w:numPr>
      </w:pPr>
      <w:bookmarkStart w:id="20" w:name="_Toc117510064"/>
      <w:r>
        <w:t>ÚPRAVY POVRCHŮ</w:t>
      </w:r>
      <w:bookmarkEnd w:id="20"/>
    </w:p>
    <w:p w14:paraId="45DC2324" w14:textId="5D36F993" w:rsidR="00E2031F" w:rsidRPr="00E2031F" w:rsidRDefault="00E722FD" w:rsidP="007E3890">
      <w:pPr>
        <w:ind w:left="2160"/>
      </w:pPr>
      <w:proofErr w:type="gramStart"/>
      <w:r>
        <w:t>Neřeší</w:t>
      </w:r>
      <w:proofErr w:type="gramEnd"/>
      <w:r>
        <w:t xml:space="preserve"> se.</w:t>
      </w:r>
    </w:p>
    <w:p w14:paraId="73E67CE7" w14:textId="6F75049D" w:rsidR="00A143D6" w:rsidRDefault="00A143D6" w:rsidP="007E3890">
      <w:pPr>
        <w:pStyle w:val="Nadpis2"/>
        <w:numPr>
          <w:ilvl w:val="2"/>
          <w:numId w:val="8"/>
        </w:numPr>
      </w:pPr>
      <w:bookmarkStart w:id="21" w:name="_Toc117510065"/>
      <w:r>
        <w:t>STAVEBNÍ FYZIKA</w:t>
      </w:r>
      <w:bookmarkEnd w:id="21"/>
    </w:p>
    <w:p w14:paraId="773EFE02" w14:textId="35F454DA" w:rsidR="00A143D6" w:rsidRDefault="00A143D6" w:rsidP="007E3890">
      <w:pPr>
        <w:pStyle w:val="Nadpis3"/>
        <w:numPr>
          <w:ilvl w:val="4"/>
          <w:numId w:val="8"/>
        </w:numPr>
      </w:pPr>
      <w:bookmarkStart w:id="22" w:name="_Toc117510066"/>
      <w:r>
        <w:t>TEPELNÁ TECHNIKA</w:t>
      </w:r>
      <w:bookmarkEnd w:id="22"/>
    </w:p>
    <w:p w14:paraId="79680C54" w14:textId="256583FF" w:rsidR="00E2031F" w:rsidRPr="00E2031F" w:rsidRDefault="00E722FD" w:rsidP="007E3890">
      <w:pPr>
        <w:ind w:left="2160"/>
      </w:pPr>
      <w:r>
        <w:t>Zůstává stávající</w:t>
      </w:r>
      <w:r w:rsidR="00E2031F">
        <w:t>.</w:t>
      </w:r>
    </w:p>
    <w:p w14:paraId="035B0D30" w14:textId="2CFC7CE4" w:rsidR="00A143D6" w:rsidRDefault="00A143D6" w:rsidP="007E3890">
      <w:pPr>
        <w:pStyle w:val="Nadpis3"/>
        <w:numPr>
          <w:ilvl w:val="4"/>
          <w:numId w:val="8"/>
        </w:numPr>
      </w:pPr>
      <w:bookmarkStart w:id="23" w:name="_Toc117510067"/>
      <w:r>
        <w:t>OSVĚTLENÍ</w:t>
      </w:r>
      <w:bookmarkEnd w:id="23"/>
    </w:p>
    <w:p w14:paraId="6D500846" w14:textId="6EF7B213" w:rsidR="00E2031F" w:rsidRPr="00E2031F" w:rsidRDefault="00E722FD" w:rsidP="007E3890">
      <w:pPr>
        <w:ind w:left="2160"/>
      </w:pPr>
      <w:r>
        <w:t>Zůstává stávající.</w:t>
      </w:r>
    </w:p>
    <w:p w14:paraId="0164A706" w14:textId="074B41CA" w:rsidR="00A143D6" w:rsidRDefault="00A143D6" w:rsidP="007E3890">
      <w:pPr>
        <w:pStyle w:val="Nadpis3"/>
        <w:numPr>
          <w:ilvl w:val="4"/>
          <w:numId w:val="8"/>
        </w:numPr>
      </w:pPr>
      <w:bookmarkStart w:id="24" w:name="_Toc117510068"/>
      <w:r>
        <w:t>OSLUNĚNÍ</w:t>
      </w:r>
      <w:bookmarkEnd w:id="24"/>
    </w:p>
    <w:p w14:paraId="6D279B07" w14:textId="0866B2B9" w:rsidR="00E2031F" w:rsidRPr="00E2031F" w:rsidRDefault="00E722FD" w:rsidP="007E3890">
      <w:pPr>
        <w:ind w:left="2160"/>
      </w:pPr>
      <w:r>
        <w:t>Zůstává stávající</w:t>
      </w:r>
      <w:r w:rsidR="00E2031F">
        <w:t>.</w:t>
      </w:r>
    </w:p>
    <w:p w14:paraId="04D3350B" w14:textId="107C49AE" w:rsidR="00A143D6" w:rsidRDefault="00A143D6" w:rsidP="007E3890">
      <w:pPr>
        <w:pStyle w:val="Nadpis3"/>
        <w:numPr>
          <w:ilvl w:val="4"/>
          <w:numId w:val="8"/>
        </w:numPr>
      </w:pPr>
      <w:bookmarkStart w:id="25" w:name="_Toc117510069"/>
      <w:r>
        <w:t>HLUK</w:t>
      </w:r>
      <w:r w:rsidR="00E722FD">
        <w:t xml:space="preserve"> a VIBRACE</w:t>
      </w:r>
      <w:bookmarkEnd w:id="25"/>
    </w:p>
    <w:p w14:paraId="1D3E8CF1" w14:textId="0A67C1F5" w:rsidR="00E2031F" w:rsidRPr="00E2031F" w:rsidRDefault="00E722FD" w:rsidP="00661E1D">
      <w:pPr>
        <w:ind w:left="2160"/>
      </w:pPr>
      <w:bookmarkStart w:id="26" w:name="_Hlk109919671"/>
      <w:r>
        <w:t xml:space="preserve">Vlivem výstavby dojde ke krátkodobému zvýšení hladiny hluku a vibrací mechanizací a dopravou. Tento vliv je nutno minimalizovat. Hlučnost bude eliminována omezeným používáním mechanismů na nezbytně nutnou míru a také časovým omezením prací na určité denní hodiny, kdy není kladen zvýšený důraz na klid, tedy mezi 7. a 20. hodinou. důraz na klid, tedy mezi 7. a 20. hodinou. Zhotovitel stavby (investor) bude provádět a zajistí stavbu tak, aby hluková zátěž v chráněném venkovním prostoru staveb vyhověla požadavkům NV 272/2011 Sb. Hluk ze stavební činnosti související s výstavbou bude v chráněném venkovním prostoru blízkých rodinných domů vyhovující současně platnému nařízení pro časový úsek dne od 7 do 21 hodin – nebude překročen hygienický limit </w:t>
      </w:r>
      <w:proofErr w:type="gramStart"/>
      <w:r>
        <w:t>L</w:t>
      </w:r>
      <w:r>
        <w:rPr>
          <w:vertAlign w:val="subscript"/>
        </w:rPr>
        <w:t>A,eq</w:t>
      </w:r>
      <w:proofErr w:type="gramEnd"/>
      <w:r>
        <w:rPr>
          <w:vertAlign w:val="subscript"/>
        </w:rPr>
        <w:t xml:space="preserve">,14h </w:t>
      </w:r>
      <w:r>
        <w:t xml:space="preserve">= 65 dB (50dB + korekce 15dB). Stavební činnost nebude prováděna v noční době, ve dnech pracovního klidu a o svátcích. </w:t>
      </w:r>
      <w:r w:rsidR="001A2679">
        <w:t xml:space="preserve">Vzhledem </w:t>
      </w:r>
      <w:proofErr w:type="gramStart"/>
      <w:r w:rsidR="001A2679">
        <w:t>k</w:t>
      </w:r>
      <w:r>
        <w:t xml:space="preserve">  tomu</w:t>
      </w:r>
      <w:proofErr w:type="gramEnd"/>
      <w:r>
        <w:t>,  že  se jedná o stavbu nevelkého rozsahu, nepředpokládáme použití velkých hlučných stavebních strojů</w:t>
      </w:r>
      <w:bookmarkEnd w:id="26"/>
      <w:r w:rsidR="00E2031F">
        <w:t>.</w:t>
      </w:r>
    </w:p>
    <w:p w14:paraId="7F395254" w14:textId="3D606317" w:rsidR="00A143D6" w:rsidRDefault="00A143D6" w:rsidP="007E3890">
      <w:pPr>
        <w:pStyle w:val="Nadpis2"/>
        <w:numPr>
          <w:ilvl w:val="2"/>
          <w:numId w:val="8"/>
        </w:numPr>
      </w:pPr>
      <w:bookmarkStart w:id="27" w:name="_Toc117510070"/>
      <w:r>
        <w:t>VÝPIS POUŽITÝCH NOREM</w:t>
      </w:r>
      <w:bookmarkEnd w:id="27"/>
    </w:p>
    <w:p w14:paraId="57C3DEDB" w14:textId="77777777" w:rsidR="00713263" w:rsidRPr="00842E87" w:rsidRDefault="00713263" w:rsidP="00DA7C47">
      <w:pPr>
        <w:pStyle w:val="Odstavecseseznamem"/>
        <w:numPr>
          <w:ilvl w:val="0"/>
          <w:numId w:val="9"/>
        </w:numPr>
        <w:ind w:left="2127" w:hanging="351"/>
        <w:rPr>
          <w:sz w:val="20"/>
          <w:szCs w:val="20"/>
        </w:rPr>
      </w:pPr>
      <w:r w:rsidRPr="00842E87">
        <w:rPr>
          <w:sz w:val="20"/>
          <w:szCs w:val="20"/>
        </w:rPr>
        <w:t xml:space="preserve">Zákon č 183/2006 Sb.: Stavební zákon, </w:t>
      </w:r>
    </w:p>
    <w:p w14:paraId="104958D2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vyhláška č. 499/2006 Sb.: O dokumentaci staveb, </w:t>
      </w:r>
    </w:p>
    <w:p w14:paraId="68E11AEC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vyhláška č. 268/2009 Sb.: </w:t>
      </w:r>
      <w:proofErr w:type="spellStart"/>
      <w:r w:rsidRPr="00842E87">
        <w:rPr>
          <w:sz w:val="20"/>
          <w:szCs w:val="20"/>
        </w:rPr>
        <w:t>Otechnických</w:t>
      </w:r>
      <w:proofErr w:type="spellEnd"/>
      <w:r w:rsidRPr="00842E87">
        <w:rPr>
          <w:sz w:val="20"/>
          <w:szCs w:val="20"/>
        </w:rPr>
        <w:t xml:space="preserve"> požadavcích na stavbu, </w:t>
      </w:r>
    </w:p>
    <w:p w14:paraId="1ED2B723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nařízení vlády č. 591/2006 Sb.: O bližších minimálních požadavcích na bezpečnost a ochranu zdraví při práci na staveništích, </w:t>
      </w:r>
    </w:p>
    <w:p w14:paraId="14C886AB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nařízení vlády č. 362/2005 Sb.: O bližších požadavcích na bezpečnost a ochranu zdraví při práci na pracovištích s nebezpečím pádu z výšky nebo do hloubky, </w:t>
      </w:r>
    </w:p>
    <w:p w14:paraId="6BE31680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vyhláška č. 23/2008 Sb.: O technických podmínkách požární ochrany staveb, </w:t>
      </w:r>
    </w:p>
    <w:p w14:paraId="01E3182D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zákon č.133/1985 Sb.: Požární zákon ve znění pozdějších předpisů, </w:t>
      </w:r>
    </w:p>
    <w:p w14:paraId="00232A94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lastRenderedPageBreak/>
        <w:t xml:space="preserve">vyhláška č. 246/2001 Sb.: O požární prevenci, </w:t>
      </w:r>
    </w:p>
    <w:p w14:paraId="60251408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>Vyhláška č. 398/2009 Sb. o obecných technických požadavcích zabezpečujících bezbariérové užívání staveb</w:t>
      </w:r>
    </w:p>
    <w:p w14:paraId="097E6473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01 3420 – Výkresy pozemních staveb – kreslení výkresů stavební části, </w:t>
      </w:r>
    </w:p>
    <w:p w14:paraId="50E0486C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ISO </w:t>
      </w:r>
      <w:proofErr w:type="gramStart"/>
      <w:r w:rsidRPr="00842E87">
        <w:rPr>
          <w:sz w:val="20"/>
          <w:szCs w:val="20"/>
        </w:rPr>
        <w:t>128 – 23</w:t>
      </w:r>
      <w:proofErr w:type="gramEnd"/>
      <w:r w:rsidRPr="00842E87">
        <w:rPr>
          <w:sz w:val="20"/>
          <w:szCs w:val="20"/>
        </w:rPr>
        <w:t xml:space="preserve"> – Technické výkresy – Pravidla zobrazování, </w:t>
      </w:r>
    </w:p>
    <w:p w14:paraId="47473D5D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73 0810:04/2010 – Požární bezpečnost staveb (PBS) – společná ustanovení, </w:t>
      </w:r>
    </w:p>
    <w:p w14:paraId="1309E25E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73 0802:05/2009 – PBS – nevýrobní objekty, </w:t>
      </w:r>
    </w:p>
    <w:p w14:paraId="7D3DF1DB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73 0873:06/2003 – PBS – Zásobování požární vodou, </w:t>
      </w:r>
    </w:p>
    <w:p w14:paraId="4C746A39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73 0821:05/2007 – PBS – odolnost stavebních konstrukcí, </w:t>
      </w:r>
    </w:p>
    <w:p w14:paraId="291BFCBA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73 0818: 07/1197 – PBS – obsazení objektu osobami, </w:t>
      </w:r>
    </w:p>
    <w:p w14:paraId="31BB3441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73 0532: 2010 – </w:t>
      </w:r>
      <w:proofErr w:type="gramStart"/>
      <w:r w:rsidRPr="00842E87">
        <w:rPr>
          <w:sz w:val="20"/>
          <w:szCs w:val="20"/>
        </w:rPr>
        <w:t>Akustika - ochrana</w:t>
      </w:r>
      <w:proofErr w:type="gramEnd"/>
      <w:r w:rsidRPr="00842E87">
        <w:rPr>
          <w:sz w:val="20"/>
          <w:szCs w:val="20"/>
        </w:rPr>
        <w:t xml:space="preserve"> proti hluku v budovách a související akustické vlastnosti stavebních výrobků– požadavky), </w:t>
      </w:r>
    </w:p>
    <w:p w14:paraId="75D05C6E" w14:textId="77777777" w:rsidR="00713263" w:rsidRPr="00842E87" w:rsidRDefault="00713263" w:rsidP="0071326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EN ISO 13788, </w:t>
      </w:r>
    </w:p>
    <w:p w14:paraId="4963E445" w14:textId="2E6383FB" w:rsidR="00DA7C47" w:rsidRPr="00DA7C47" w:rsidRDefault="00713263" w:rsidP="00DA7C47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842E87">
        <w:rPr>
          <w:sz w:val="20"/>
          <w:szCs w:val="20"/>
        </w:rPr>
        <w:t xml:space="preserve">ČSN EN ISO 6946, </w:t>
      </w:r>
    </w:p>
    <w:sectPr w:rsidR="009B3F9E" w:rsidRPr="00DA7C47" w:rsidSect="008A3274">
      <w:footerReference w:type="default" r:id="rId8"/>
      <w:headerReference w:type="first" r:id="rId9"/>
      <w:footerReference w:type="first" r:id="rId10"/>
      <w:pgSz w:w="11906" w:h="16838"/>
      <w:pgMar w:top="709" w:right="707" w:bottom="568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3DE87" w14:textId="77777777" w:rsidR="00603E96" w:rsidRDefault="00603E96" w:rsidP="00603E96">
      <w:r>
        <w:separator/>
      </w:r>
    </w:p>
  </w:endnote>
  <w:endnote w:type="continuationSeparator" w:id="0">
    <w:p w14:paraId="6D35A64C" w14:textId="77777777" w:rsidR="00603E96" w:rsidRDefault="00603E96" w:rsidP="00603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2795323"/>
      <w:docPartObj>
        <w:docPartGallery w:val="Page Numbers (Bottom of Page)"/>
        <w:docPartUnique/>
      </w:docPartObj>
    </w:sdtPr>
    <w:sdtEndPr/>
    <w:sdtContent>
      <w:p w14:paraId="44F47B11" w14:textId="77777777" w:rsidR="00FB3BA6" w:rsidRDefault="00FB3BA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D08" w14:textId="77777777" w:rsidR="00FB3BA6" w:rsidRDefault="00FB3BA6" w:rsidP="00FB3BA6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C8156" w14:textId="69072171" w:rsidR="00FB3BA6" w:rsidRDefault="00FB3BA6">
    <w:pPr>
      <w:pStyle w:val="Zpat"/>
    </w:pPr>
    <w:r>
      <w:t xml:space="preserve">VYPRACOVAL: </w:t>
    </w:r>
    <w:r w:rsidR="00842E87">
      <w:t>Martin Netolický</w:t>
    </w:r>
  </w:p>
  <w:p w14:paraId="211AA0E7" w14:textId="2F8D4727" w:rsidR="00FB3BA6" w:rsidRDefault="00FB3BA6">
    <w:pPr>
      <w:pStyle w:val="Zpat"/>
    </w:pPr>
    <w:r>
      <w:t xml:space="preserve">DATUM: </w:t>
    </w:r>
    <w:r w:rsidR="00E575B8">
      <w:t>15.4.2024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4945D" w14:textId="77777777" w:rsidR="00603E96" w:rsidRDefault="00603E96" w:rsidP="00603E96">
      <w:r>
        <w:separator/>
      </w:r>
    </w:p>
  </w:footnote>
  <w:footnote w:type="continuationSeparator" w:id="0">
    <w:p w14:paraId="60C3DB5B" w14:textId="77777777" w:rsidR="00603E96" w:rsidRDefault="00603E96" w:rsidP="00603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54363" w14:textId="77777777" w:rsidR="00116683" w:rsidRDefault="00116683" w:rsidP="00116683">
    <w:pPr>
      <w:pStyle w:val="Zhlav"/>
      <w:jc w:val="right"/>
    </w:pPr>
    <w:r>
      <w:t>Dle vyhlášky 499/2006, příloha č.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F6E2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3E24C8F"/>
    <w:multiLevelType w:val="hybridMultilevel"/>
    <w:tmpl w:val="FDAE9C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7443"/>
    <w:multiLevelType w:val="hybridMultilevel"/>
    <w:tmpl w:val="071AD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13738"/>
    <w:multiLevelType w:val="hybridMultilevel"/>
    <w:tmpl w:val="48F69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3653B"/>
    <w:multiLevelType w:val="hybridMultilevel"/>
    <w:tmpl w:val="CFBCEC9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D36D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EE30198"/>
    <w:multiLevelType w:val="hybridMultilevel"/>
    <w:tmpl w:val="A2FC326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7D980ED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F5C3B00"/>
    <w:multiLevelType w:val="hybridMultilevel"/>
    <w:tmpl w:val="718C9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585658">
    <w:abstractNumId w:val="8"/>
  </w:num>
  <w:num w:numId="2" w16cid:durableId="1647078604">
    <w:abstractNumId w:val="3"/>
  </w:num>
  <w:num w:numId="3" w16cid:durableId="192302513">
    <w:abstractNumId w:val="1"/>
  </w:num>
  <w:num w:numId="4" w16cid:durableId="717240140">
    <w:abstractNumId w:val="4"/>
  </w:num>
  <w:num w:numId="5" w16cid:durableId="1471481505">
    <w:abstractNumId w:val="2"/>
  </w:num>
  <w:num w:numId="6" w16cid:durableId="512189130">
    <w:abstractNumId w:val="7"/>
  </w:num>
  <w:num w:numId="7" w16cid:durableId="1202784441">
    <w:abstractNumId w:val="0"/>
  </w:num>
  <w:num w:numId="8" w16cid:durableId="412506665">
    <w:abstractNumId w:val="5"/>
  </w:num>
  <w:num w:numId="9" w16cid:durableId="10566636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E96"/>
    <w:rsid w:val="00054851"/>
    <w:rsid w:val="00084B5C"/>
    <w:rsid w:val="000938DC"/>
    <w:rsid w:val="000A3971"/>
    <w:rsid w:val="00116683"/>
    <w:rsid w:val="00132E1D"/>
    <w:rsid w:val="00134BDE"/>
    <w:rsid w:val="001571A8"/>
    <w:rsid w:val="0017545E"/>
    <w:rsid w:val="00187E0A"/>
    <w:rsid w:val="001A2679"/>
    <w:rsid w:val="00222B81"/>
    <w:rsid w:val="0023518E"/>
    <w:rsid w:val="002557F0"/>
    <w:rsid w:val="00276089"/>
    <w:rsid w:val="00284E6A"/>
    <w:rsid w:val="00295F20"/>
    <w:rsid w:val="002975F5"/>
    <w:rsid w:val="002A4FBA"/>
    <w:rsid w:val="002D666D"/>
    <w:rsid w:val="0032004B"/>
    <w:rsid w:val="00345650"/>
    <w:rsid w:val="003609A4"/>
    <w:rsid w:val="003D5204"/>
    <w:rsid w:val="003E0AE7"/>
    <w:rsid w:val="00422597"/>
    <w:rsid w:val="00434719"/>
    <w:rsid w:val="004D6CE5"/>
    <w:rsid w:val="00505358"/>
    <w:rsid w:val="005D4EE5"/>
    <w:rsid w:val="00603E96"/>
    <w:rsid w:val="00617E40"/>
    <w:rsid w:val="00661E1D"/>
    <w:rsid w:val="006B19FA"/>
    <w:rsid w:val="006F6173"/>
    <w:rsid w:val="00712C16"/>
    <w:rsid w:val="00713263"/>
    <w:rsid w:val="00715449"/>
    <w:rsid w:val="00736676"/>
    <w:rsid w:val="007376A0"/>
    <w:rsid w:val="0074116A"/>
    <w:rsid w:val="00774786"/>
    <w:rsid w:val="00781CDF"/>
    <w:rsid w:val="007D644B"/>
    <w:rsid w:val="007E3890"/>
    <w:rsid w:val="008002E1"/>
    <w:rsid w:val="008167BC"/>
    <w:rsid w:val="00842E87"/>
    <w:rsid w:val="008821D7"/>
    <w:rsid w:val="008A3274"/>
    <w:rsid w:val="008A7214"/>
    <w:rsid w:val="009C7312"/>
    <w:rsid w:val="009F04C9"/>
    <w:rsid w:val="00A143D6"/>
    <w:rsid w:val="00A471A2"/>
    <w:rsid w:val="00A51204"/>
    <w:rsid w:val="00A638FE"/>
    <w:rsid w:val="00A667A8"/>
    <w:rsid w:val="00A67522"/>
    <w:rsid w:val="00A74D99"/>
    <w:rsid w:val="00A76D31"/>
    <w:rsid w:val="00B4295D"/>
    <w:rsid w:val="00BA14B6"/>
    <w:rsid w:val="00BF114A"/>
    <w:rsid w:val="00C30F45"/>
    <w:rsid w:val="00CB5BE1"/>
    <w:rsid w:val="00CC0802"/>
    <w:rsid w:val="00D80D13"/>
    <w:rsid w:val="00DA7C47"/>
    <w:rsid w:val="00DF2E56"/>
    <w:rsid w:val="00DF2E63"/>
    <w:rsid w:val="00DF75B1"/>
    <w:rsid w:val="00E2031F"/>
    <w:rsid w:val="00E575B8"/>
    <w:rsid w:val="00E602BD"/>
    <w:rsid w:val="00E722FD"/>
    <w:rsid w:val="00EA5849"/>
    <w:rsid w:val="00EE2895"/>
    <w:rsid w:val="00F36EA9"/>
    <w:rsid w:val="00FB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C83E"/>
  <w15:chartTrackingRefBased/>
  <w15:docId w15:val="{D195F1EF-885C-4A65-933E-4685DC9E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6EA9"/>
    <w:pPr>
      <w:spacing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03E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3E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3E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03E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03E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03E96"/>
  </w:style>
  <w:style w:type="paragraph" w:styleId="Zpat">
    <w:name w:val="footer"/>
    <w:basedOn w:val="Normln"/>
    <w:link w:val="ZpatChar"/>
    <w:uiPriority w:val="99"/>
    <w:unhideWhenUsed/>
    <w:rsid w:val="00603E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03E96"/>
  </w:style>
  <w:style w:type="paragraph" w:styleId="Odstavecseseznamem">
    <w:name w:val="List Paragraph"/>
    <w:basedOn w:val="Normln"/>
    <w:uiPriority w:val="34"/>
    <w:qFormat/>
    <w:rsid w:val="00603E9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03E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03E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03E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03E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zev">
    <w:name w:val="Title"/>
    <w:basedOn w:val="Normln"/>
    <w:next w:val="Normln"/>
    <w:link w:val="NzevChar"/>
    <w:uiPriority w:val="10"/>
    <w:qFormat/>
    <w:rsid w:val="000A397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A3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bsah1">
    <w:name w:val="toc 1"/>
    <w:basedOn w:val="Normln"/>
    <w:next w:val="Normln"/>
    <w:autoRedefine/>
    <w:uiPriority w:val="39"/>
    <w:unhideWhenUsed/>
    <w:rsid w:val="000A3971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0A3971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B3BA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B3BA6"/>
    <w:rPr>
      <w:rFonts w:eastAsiaTheme="minorEastAsia"/>
      <w:color w:val="5A5A5A" w:themeColor="text1" w:themeTint="A5"/>
      <w:spacing w:val="15"/>
    </w:rPr>
  </w:style>
  <w:style w:type="character" w:styleId="Siln">
    <w:name w:val="Strong"/>
    <w:basedOn w:val="Standardnpsmoodstavce"/>
    <w:uiPriority w:val="22"/>
    <w:qFormat/>
    <w:rsid w:val="00FB3BA6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FB3BA6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736676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7747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47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47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47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478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7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786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EA5849"/>
    <w:pPr>
      <w:spacing w:after="0" w:line="259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584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A584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296679-F70C-489C-8D2B-F08DEE9A7B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D74F08-C66E-49E3-B6C5-11CB289C1186}"/>
</file>

<file path=customXml/itemProps3.xml><?xml version="1.0" encoding="utf-8"?>
<ds:datastoreItem xmlns:ds="http://schemas.openxmlformats.org/officeDocument/2006/customXml" ds:itemID="{F83D6A20-57C3-4E5A-BF99-449CA57CD3E9}"/>
</file>

<file path=customXml/itemProps4.xml><?xml version="1.0" encoding="utf-8"?>
<ds:datastoreItem xmlns:ds="http://schemas.openxmlformats.org/officeDocument/2006/customXml" ds:itemID="{50F47B23-7AF9-4432-86A3-69C7777E44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4</Pages>
  <Words>1287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Pelikán</dc:creator>
  <cp:keywords/>
  <dc:description/>
  <cp:lastModifiedBy>Milan Pelikán</cp:lastModifiedBy>
  <cp:revision>44</cp:revision>
  <cp:lastPrinted>2024-05-03T11:12:00Z</cp:lastPrinted>
  <dcterms:created xsi:type="dcterms:W3CDTF">2020-03-19T09:41:00Z</dcterms:created>
  <dcterms:modified xsi:type="dcterms:W3CDTF">2024-05-03T11:23:00Z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