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jc w:val="center"/>
      </w:pPr>
      <w: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Arial" w:hAnsi="Arial" w:cs="Arial"/>
                <w:b/>
                <w:bCs/>
              </w:rPr>
              <w:t>Kompletní oprava 7 bytů – Brodská, Libušínská a Haškova, Žďár nad Sázavou</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r>
              <w:rPr>
                <w:rFonts w:asciiTheme="minorHAnsi" w:hAnsiTheme="minorHAnsi" w:cstheme="minorHAnsi"/>
              </w:rPr>
              <w:t>https://zakazky.zdarns.cz/vz00001204</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227/10 591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Ing. Martin Mrkos, ACCA, starosta</w:t>
            </w:r>
          </w:p>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Dana Wurzelová, vedoucí odboru majetku a komunálních služeb</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sz w:val="22"/>
            <w:szCs w:val="22"/>
          </w:rPr>
          <w:id w:val="1709370305"/>
          <w:placeholder>
            <w:docPart w:val="65ED8864C80C4814930F6AB835AD80D8"/>
          </w:placeholder>
          <w:comboBox>
            <w:listItem w:value="Zvolte položku."/>
            <w:listItem w:displayText="vyžaduje" w:value="vyžaduje"/>
            <w:listItem w:displayText="nevyžaduje" w:value="nevyžaduje"/>
          </w:comboBox>
        </w:sdtPr>
        <w:sdtContent>
          <w:r>
            <w:rPr>
              <w:rFonts w:asciiTheme="minorHAnsi" w:hAnsiTheme="minorHAnsi" w:cstheme="minorHAnsi"/>
              <w:b/>
              <w:bCs/>
              <w:sz w:val="22"/>
              <w:szCs w:val="22"/>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Nepředložení návrhu smlouvy v nabídce se nevztahuje na přílohu č. 2 – Položkové rozpočty, které musí být účastníkem předloženy vždy.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Účastník zadávacího řízení podáním nabídky projevuje svoji vůli k akceptaci veškerých obchodních podmínek tak, jak byly zadavatelem stanoveny v návrhu smlouvy o dílo a jeho přílohách.</w:t>
      </w: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b/>
          <w:bCs/>
          <w:sz w:val="32"/>
          <w:szCs w:val="32"/>
        </w:rPr>
      </w:pPr>
      <w:r>
        <w:rPr>
          <w:rFonts w:asciiTheme="minorHAnsi" w:eastAsia="Calibri" w:hAnsiTheme="minorHAnsi" w:cstheme="minorHAnsi"/>
          <w:sz w:val="22"/>
          <w:szCs w:val="22"/>
        </w:rPr>
        <w:lastRenderedPageBreak/>
        <w:t xml:space="preserve">Smlouva Objednatele č. </w:t>
      </w:r>
      <w:r>
        <w:rPr>
          <w:rFonts w:ascii="Calibri" w:hAnsi="Calibri"/>
          <w:sz w:val="22"/>
          <w:szCs w:val="22"/>
          <w:highlight w:val="cyan"/>
        </w:rPr>
        <w:t>[bude doplněno]</w:t>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4253" w:hanging="3686"/>
        <w:rPr>
          <w:rFonts w:ascii="Calibri" w:hAnsi="Calibri"/>
          <w:color w:val="000000"/>
          <w:sz w:val="22"/>
          <w:szCs w:val="22"/>
        </w:rPr>
      </w:pPr>
      <w:r>
        <w:rPr>
          <w:rFonts w:ascii="Calibri" w:hAnsi="Calibri"/>
          <w:sz w:val="22"/>
          <w:szCs w:val="22"/>
        </w:rPr>
        <w:t xml:space="preserve">Sídlo: </w:t>
      </w:r>
      <w:r>
        <w:tab/>
      </w:r>
      <w:r>
        <w:rPr>
          <w:rFonts w:ascii="Calibri" w:hAnsi="Calibri"/>
          <w:sz w:val="22"/>
          <w:szCs w:val="22"/>
        </w:rPr>
        <w:t xml:space="preserve">           </w:t>
      </w:r>
      <w:r>
        <w:rPr>
          <w:rFonts w:asciiTheme="minorHAnsi" w:hAnsiTheme="minorHAnsi" w:cstheme="minorBidi"/>
          <w:sz w:val="22"/>
          <w:szCs w:val="22"/>
          <w:lang w:bidi="en-US"/>
        </w:rPr>
        <w:t>Žižkova 227/1, Žďár nad Sázavou, PSČ 591 01 Žďár nad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1473416/0300</w:t>
      </w:r>
    </w:p>
    <w:p>
      <w:pPr>
        <w:ind w:left="567"/>
        <w:rPr>
          <w:rFonts w:asciiTheme="minorHAnsi" w:hAnsiTheme="minorHAnsi" w:cstheme="minorHAnsi"/>
          <w:sz w:val="22"/>
          <w:szCs w:val="22"/>
          <w:lang w:bidi="en-US"/>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Martinem Mrkosem, ACCA, starostou</w:t>
      </w:r>
    </w:p>
    <w:p>
      <w:pPr>
        <w:ind w:left="4248" w:firstLine="3"/>
        <w:rPr>
          <w:rFonts w:ascii="Calibri" w:hAnsi="Calibri"/>
          <w:color w:val="000000"/>
          <w:sz w:val="22"/>
          <w:szCs w:val="22"/>
        </w:rPr>
      </w:pPr>
      <w:r>
        <w:rPr>
          <w:rFonts w:ascii="Calibri" w:hAnsi="Calibri"/>
          <w:color w:val="000000"/>
          <w:sz w:val="22"/>
          <w:szCs w:val="22"/>
        </w:rPr>
        <w:t xml:space="preserve">Ing. Danou </w:t>
      </w:r>
      <w:proofErr w:type="spellStart"/>
      <w:r>
        <w:rPr>
          <w:rFonts w:ascii="Calibri" w:hAnsi="Calibri"/>
          <w:color w:val="000000"/>
          <w:sz w:val="22"/>
          <w:szCs w:val="22"/>
        </w:rPr>
        <w:t>Wurzelovou</w:t>
      </w:r>
      <w:proofErr w:type="spellEnd"/>
      <w:r>
        <w:rPr>
          <w:rFonts w:ascii="Calibri" w:hAnsi="Calibri"/>
          <w:color w:val="000000"/>
          <w:sz w:val="22"/>
          <w:szCs w:val="22"/>
        </w:rPr>
        <w:t>, vedoucí odboru majetku a komunálních služeb</w:t>
      </w:r>
    </w:p>
    <w:p>
      <w:pPr>
        <w:spacing w:before="120"/>
        <w:ind w:left="4248" w:hanging="3681"/>
        <w:rPr>
          <w:rFonts w:ascii="Calibri" w:hAnsi="Calibri"/>
          <w:color w:val="000000"/>
          <w:sz w:val="22"/>
          <w:szCs w:val="22"/>
        </w:rPr>
      </w:pPr>
      <w:r>
        <w:rPr>
          <w:rFonts w:ascii="Calibri" w:hAnsi="Calibri"/>
          <w:color w:val="000000" w:themeColor="text1"/>
          <w:sz w:val="22"/>
          <w:szCs w:val="22"/>
        </w:rPr>
        <w:t>Kontaktní osoba:</w:t>
      </w:r>
      <w:r>
        <w:tab/>
      </w:r>
      <w:r>
        <w:rPr>
          <w:rFonts w:ascii="Calibri" w:hAnsi="Calibri"/>
          <w:color w:val="000000" w:themeColor="text1"/>
          <w:sz w:val="22"/>
          <w:szCs w:val="22"/>
        </w:rPr>
        <w:t>ve věcech smluvních Ing. Dana Wurzelová, vedoucí odboru majetku a komunálních služeb</w:t>
      </w:r>
    </w:p>
    <w:p>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tel. 566 688 180, e-mail dana.wurzelova@zdarns.cz</w:t>
      </w:r>
    </w:p>
    <w:p>
      <w:pPr>
        <w:spacing w:before="120"/>
        <w:ind w:left="4248" w:hanging="3681"/>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t>ve věcech technických Ing. Vojtěch Veselý, referent odboru majetku a komunálních služeb</w:t>
      </w:r>
    </w:p>
    <w:p>
      <w:pPr>
        <w:tabs>
          <w:tab w:val="left" w:pos="3828"/>
          <w:tab w:val="left" w:pos="4253"/>
          <w:tab w:val="left" w:pos="5580"/>
        </w:tabs>
        <w:spacing w:line="276" w:lineRule="auto"/>
        <w:ind w:left="4248" w:hanging="3681"/>
        <w:contextualSpacing/>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t>tel.: 566 688 176, 771 504 304</w:t>
      </w:r>
    </w:p>
    <w:p>
      <w:pPr>
        <w:tabs>
          <w:tab w:val="left" w:pos="3828"/>
          <w:tab w:val="left" w:pos="4253"/>
          <w:tab w:val="left" w:pos="5580"/>
        </w:tabs>
        <w:spacing w:line="276" w:lineRule="auto"/>
        <w:ind w:left="4248" w:hanging="3681"/>
        <w:contextualSpacing/>
        <w:rPr>
          <w:rFonts w:asciiTheme="minorHAnsi" w:hAnsiTheme="minorHAnsi" w:cstheme="minorHAnsi"/>
          <w:b/>
          <w:sz w:val="22"/>
          <w:szCs w:val="22"/>
        </w:rPr>
      </w:pPr>
      <w:r>
        <w:rPr>
          <w:rFonts w:ascii="Calibri" w:hAnsi="Calibri"/>
          <w:color w:val="000000"/>
          <w:sz w:val="22"/>
          <w:szCs w:val="22"/>
        </w:rPr>
        <w:tab/>
      </w:r>
      <w:r>
        <w:rPr>
          <w:rFonts w:ascii="Calibri" w:hAnsi="Calibri"/>
          <w:color w:val="000000"/>
          <w:sz w:val="22"/>
          <w:szCs w:val="22"/>
        </w:rPr>
        <w:tab/>
        <w:t>e-mail: vojtech.vesely@zdarns.cz</w:t>
      </w:r>
    </w:p>
    <w:p>
      <w:pPr>
        <w:spacing w:after="120"/>
        <w:ind w:left="567"/>
        <w:rPr>
          <w:rFonts w:ascii="Calibri" w:hAnsi="Calibri"/>
          <w:color w:val="000000"/>
          <w:sz w:val="22"/>
          <w:szCs w:val="22"/>
        </w:rPr>
      </w:pPr>
    </w:p>
    <w:p>
      <w:pPr>
        <w:spacing w:after="120"/>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after="120"/>
        <w:ind w:left="567"/>
        <w:rPr>
          <w:rFonts w:ascii="Calibri" w:hAnsi="Calibri"/>
          <w:color w:val="000000"/>
          <w:sz w:val="22"/>
          <w:szCs w:val="22"/>
        </w:rPr>
      </w:pPr>
      <w:r>
        <w:rPr>
          <w:rFonts w:ascii="Calibri" w:hAnsi="Calibri"/>
          <w:color w:val="000000"/>
          <w:sz w:val="22"/>
          <w:szCs w:val="22"/>
        </w:rPr>
        <w:t>a</w:t>
      </w:r>
    </w:p>
    <w:p>
      <w:pPr>
        <w:pStyle w:val="Odstavecseseznamem"/>
        <w:spacing w:after="120"/>
        <w:ind w:left="567"/>
        <w:contextualSpacing w:val="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Bidi"/>
          <w:i/>
          <w:iCs/>
          <w:sz w:val="22"/>
          <w:szCs w:val="22"/>
        </w:rPr>
      </w:pPr>
      <w:r>
        <w:rPr>
          <w:rFonts w:asciiTheme="minorHAnsi" w:hAnsiTheme="minorHAnsi" w:cstheme="minorBidi"/>
          <w:sz w:val="22"/>
          <w:szCs w:val="22"/>
        </w:rPr>
        <w:t>Objednatel, jakožto zadavatel veřejné zakázky „</w:t>
      </w:r>
      <w:r>
        <w:rPr>
          <w:rFonts w:asciiTheme="minorHAnsi" w:hAnsiTheme="minorHAnsi" w:cstheme="minorBidi"/>
          <w:b/>
          <w:bCs/>
          <w:sz w:val="22"/>
          <w:szCs w:val="22"/>
        </w:rPr>
        <w:t xml:space="preserve">Kompletní oprava 7 bytů – Brodská, Libušínská a Haškova“ </w:t>
      </w:r>
      <w:r>
        <w:rPr>
          <w:rFonts w:asciiTheme="minorHAnsi" w:hAnsiTheme="minorHAnsi" w:cstheme="minorBidi"/>
          <w:i/>
          <w:iCs/>
          <w:sz w:val="22"/>
          <w:szCs w:val="22"/>
        </w:rPr>
        <w:t>(dále jen „</w:t>
      </w:r>
      <w:r>
        <w:rPr>
          <w:rFonts w:asciiTheme="minorHAnsi" w:hAnsiTheme="minorHAnsi" w:cstheme="minorBidi"/>
          <w:b/>
          <w:bCs/>
          <w:i/>
          <w:iCs/>
          <w:sz w:val="22"/>
          <w:szCs w:val="22"/>
        </w:rPr>
        <w:t>Veřejná zakázka</w:t>
      </w:r>
      <w:r>
        <w:rPr>
          <w:rFonts w:asciiTheme="minorHAnsi" w:hAnsiTheme="minorHAnsi" w:cstheme="minorBidi"/>
          <w:i/>
          <w:iCs/>
          <w:sz w:val="22"/>
          <w:szCs w:val="22"/>
        </w:rPr>
        <w:t>“)</w:t>
      </w:r>
      <w:r>
        <w:rPr>
          <w:rFonts w:asciiTheme="minorHAnsi" w:hAnsiTheme="minorHAnsi" w:cstheme="minorBidi"/>
          <w:sz w:val="22"/>
          <w:szCs w:val="22"/>
        </w:rPr>
        <w:t xml:space="preserve"> zadávané </w:t>
      </w:r>
      <w:sdt>
        <w:sdtPr>
          <w:rPr>
            <w:rFonts w:asciiTheme="minorHAnsi" w:hAnsiTheme="minorHAnsi" w:cstheme="minorBid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Bidi"/>
              <w:sz w:val="22"/>
              <w:szCs w:val="22"/>
            </w:rPr>
            <w:t>ve výběrovém řízení mimo režim zákona</w:t>
          </w:r>
        </w:sdtContent>
      </w:sdt>
      <w:r>
        <w:rPr>
          <w:rFonts w:asciiTheme="minorHAnsi" w:hAnsiTheme="minorHAnsi" w:cstheme="minorBidi"/>
          <w:sz w:val="22"/>
          <w:szCs w:val="22"/>
        </w:rPr>
        <w:t xml:space="preserve"> č. 134/2016 Sb., o zadávání veřejných zakázek, ve znění pozdějších předpisů, </w:t>
      </w:r>
      <w:r>
        <w:rPr>
          <w:rFonts w:asciiTheme="minorHAnsi" w:hAnsiTheme="minorHAnsi" w:cstheme="minorBidi"/>
          <w:i/>
          <w:iCs/>
          <w:sz w:val="22"/>
          <w:szCs w:val="22"/>
        </w:rPr>
        <w:t>(dále jen „</w:t>
      </w:r>
      <w:r>
        <w:rPr>
          <w:rFonts w:asciiTheme="minorHAnsi" w:hAnsiTheme="minorHAnsi" w:cstheme="minorBidi"/>
          <w:b/>
          <w:bCs/>
          <w:i/>
          <w:iCs/>
          <w:sz w:val="22"/>
          <w:szCs w:val="22"/>
        </w:rPr>
        <w:t>ZZVZ</w:t>
      </w:r>
      <w:r>
        <w:rPr>
          <w:rFonts w:asciiTheme="minorHAnsi" w:hAnsiTheme="minorHAnsi" w:cstheme="minorBidi"/>
          <w:i/>
          <w:iCs/>
          <w:sz w:val="22"/>
          <w:szCs w:val="22"/>
        </w:rPr>
        <w:t>“)</w:t>
      </w:r>
      <w:r>
        <w:rPr>
          <w:rFonts w:asciiTheme="minorHAnsi" w:hAnsiTheme="minorHAnsi" w:cstheme="minorBid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Bidi"/>
          <w:i/>
          <w:iCs/>
          <w:sz w:val="22"/>
          <w:szCs w:val="22"/>
        </w:rPr>
        <w:t>(dále jen „</w:t>
      </w:r>
      <w:r>
        <w:rPr>
          <w:rFonts w:asciiTheme="minorHAnsi" w:hAnsiTheme="minorHAnsi" w:cstheme="minorBidi"/>
          <w:b/>
          <w:bCs/>
          <w:i/>
          <w:iCs/>
          <w:sz w:val="22"/>
          <w:szCs w:val="22"/>
        </w:rPr>
        <w:t>Smlouva</w:t>
      </w:r>
      <w:r>
        <w:rPr>
          <w:rFonts w:asciiTheme="minorHAnsi" w:hAnsiTheme="minorHAnsi" w:cstheme="minorBidi"/>
          <w:i/>
          <w:iCs/>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szCs w:val="22"/>
        </w:rPr>
      </w:pPr>
      <w:r>
        <w:rPr>
          <w:rFonts w:asciiTheme="minorHAnsi" w:hAnsiTheme="minorHAnsi"/>
          <w:szCs w:val="22"/>
        </w:rPr>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 kompletní opravu městských bytů dle specifikace uvedené ve vzorových projektových dokumentacích pro byty dispozičního řešení o velikosti 1+1 Brodská, byty dispozičního řešení o velikosti 1+1 Libušínská a byty dispozičního řešení o velikosti 1+1 Haškova ve Standardu vybavení a provedení rekonstrukce bytů, který je nedílnou součástí smlouvy jako její příloha č. 1.</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12"/>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xml:space="preserve">“) a Objednatel se zavazuje dokončené Dílo převzít a zaplatit za něj sjednanou cenu. Za Dílo ve smyslu této Smlouvy je rovněž považována každá část Díla dle odst. </w:t>
      </w:r>
      <w:r>
        <w:rPr>
          <w:rFonts w:ascii="Calibri" w:hAnsi="Calibri"/>
          <w:color w:val="000000"/>
          <w:sz w:val="22"/>
          <w:szCs w:val="22"/>
        </w:rPr>
        <w:fldChar w:fldCharType="begin"/>
      </w:r>
      <w:r>
        <w:rPr>
          <w:rFonts w:ascii="Calibri" w:hAnsi="Calibri"/>
          <w:color w:val="000000"/>
          <w:sz w:val="22"/>
          <w:szCs w:val="22"/>
        </w:rPr>
        <w:instrText xml:space="preserve"> REF _Ref156910496 \r \h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6</w:t>
      </w:r>
      <w:r>
        <w:rPr>
          <w:rFonts w:ascii="Calibri" w:hAnsi="Calibri"/>
          <w:color w:val="000000"/>
          <w:sz w:val="22"/>
          <w:szCs w:val="22"/>
        </w:rPr>
        <w:fldChar w:fldCharType="end"/>
      </w:r>
      <w:r>
        <w:rPr>
          <w:rFonts w:ascii="Calibri" w:hAnsi="Calibri"/>
          <w:color w:val="000000"/>
          <w:sz w:val="22"/>
          <w:szCs w:val="22"/>
        </w:rPr>
        <w:t xml:space="preserve"> této Smlouvy.</w:t>
      </w:r>
    </w:p>
    <w:p>
      <w:pPr>
        <w:rPr>
          <w:rFonts w:ascii="Calibri" w:hAnsi="Calibri"/>
          <w:sz w:val="22"/>
          <w:szCs w:val="22"/>
          <w:lang w:eastAsia="ar-SA"/>
        </w:rPr>
      </w:pPr>
    </w:p>
    <w:p>
      <w:pPr>
        <w:pStyle w:val="Odstavecseseznamem"/>
        <w:numPr>
          <w:ilvl w:val="0"/>
          <w:numId w:val="12"/>
        </w:numPr>
        <w:ind w:left="357" w:hanging="357"/>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w:t>
      </w:r>
      <w:r>
        <w:rPr>
          <w:rFonts w:asciiTheme="minorHAnsi" w:hAnsiTheme="minorHAnsi" w:cstheme="minorHAnsi"/>
          <w:sz w:val="22"/>
          <w:szCs w:val="22"/>
        </w:rPr>
        <w:t>kompletní oprava 7 bytů v městských bytových domech na ul. Brodská, Libušínská a Haškova</w:t>
      </w:r>
      <w:r>
        <w:rPr>
          <w:rFonts w:ascii="Calibri" w:hAnsi="Calibri"/>
          <w:color w:val="000000"/>
          <w:sz w:val="22"/>
          <w:szCs w:val="22"/>
        </w:rPr>
        <w:t>“</w:t>
      </w:r>
      <w:r>
        <w:rPr>
          <w:rFonts w:asciiTheme="minorHAnsi" w:hAnsiTheme="minorHAnsi" w:cstheme="minorHAnsi"/>
          <w:sz w:val="22"/>
          <w:szCs w:val="22"/>
          <w:lang w:bidi="en-US"/>
        </w:rPr>
        <w:t>, a to dle</w:t>
      </w:r>
      <w:r>
        <w:rPr>
          <w:rFonts w:ascii="Calibri" w:hAnsi="Calibri"/>
          <w:sz w:val="22"/>
          <w:szCs w:val="22"/>
        </w:rPr>
        <w:t xml:space="preserve"> dále specifikovaných vzorových projektových </w:t>
      </w:r>
      <w:r>
        <w:rPr>
          <w:rFonts w:asciiTheme="minorHAnsi" w:hAnsiTheme="minorHAnsi" w:cstheme="minorHAnsi"/>
          <w:sz w:val="22"/>
          <w:szCs w:val="22"/>
        </w:rPr>
        <w:t>dokumentací pro jednotlivé velikostní typy bytů a dále dle podmínek stanovených Smlouvou, a to včetně všech souvisejících prací, dodávek a služeb.</w:t>
      </w:r>
      <w:bookmarkEnd w:id="0"/>
    </w:p>
    <w:p>
      <w:pPr>
        <w:pStyle w:val="Odstavecseseznamem"/>
        <w:ind w:left="357"/>
        <w:jc w:val="both"/>
        <w:rPr>
          <w:rFonts w:asciiTheme="minorHAnsi" w:hAnsiTheme="minorHAnsi" w:cstheme="minorHAnsi"/>
          <w:sz w:val="22"/>
          <w:szCs w:val="22"/>
        </w:rPr>
      </w:pPr>
    </w:p>
    <w:p>
      <w:pPr>
        <w:pStyle w:val="mjodstavec"/>
        <w:numPr>
          <w:ilvl w:val="0"/>
          <w:numId w:val="12"/>
        </w:numPr>
        <w:spacing w:before="0" w:after="0"/>
        <w:ind w:left="357" w:hanging="357"/>
        <w:rPr>
          <w:rFonts w:asciiTheme="minorHAnsi" w:hAnsiTheme="minorHAnsi" w:cstheme="minorHAnsi"/>
        </w:rPr>
      </w:pPr>
      <w:r>
        <w:rPr>
          <w:rFonts w:asciiTheme="minorHAnsi" w:hAnsiTheme="minorHAnsi" w:cstheme="minorHAnsi"/>
        </w:rPr>
        <w:t>Dílo je blíže specifikováno vzorovými projektovými dokumentacemi na byt velikosti 1+1 Brodská, 1+1 Libušínská a 1+1 Haškova, a to na rekonstrukce bytů zpracované Ing. Zbyňkem Semerádem, Žďár nad Sázavou 1, IČO 45646597 a elektrické rozvody zpracované Jaroslavem Novotným, Žďár nad Sázavou, IČO 1853538 (dále jen „Projektová dokumentace“), tyto netvoří přílohu Smlouvy. Projektové dokumentace jsou vzorovými projektovými dokumentacemi pro byty shodné velikosti a dispozičního řešení a Objednatel výslovně upozorňuje Zhotovitele, že označení bytů v nich uvedená se neshodují s označením bytů, které jsou předmětem tohoto Díla.</w:t>
      </w:r>
    </w:p>
    <w:p>
      <w:pPr>
        <w:pStyle w:val="Odstavecseseznamem"/>
        <w:rPr>
          <w:rFonts w:asciiTheme="minorHAnsi" w:hAnsiTheme="minorHAnsi" w:cstheme="minorHAnsi"/>
        </w:rPr>
      </w:pPr>
    </w:p>
    <w:p>
      <w:pPr>
        <w:pStyle w:val="mjodstavec"/>
        <w:numPr>
          <w:ilvl w:val="0"/>
          <w:numId w:val="12"/>
        </w:numPr>
        <w:rPr>
          <w:rFonts w:asciiTheme="minorHAnsi" w:hAnsiTheme="minorHAnsi" w:cstheme="minorHAnsi"/>
        </w:rPr>
      </w:pPr>
      <w:bookmarkStart w:id="1" w:name="_Ref156910496"/>
      <w:r>
        <w:rPr>
          <w:rFonts w:asciiTheme="minorHAnsi" w:hAnsiTheme="minorHAnsi" w:cstheme="minorHAnsi"/>
        </w:rPr>
        <w:t>Předmětem Díla je rekonstrukce níže uvedených bytů:</w:t>
      </w:r>
      <w:bookmarkEnd w:id="1"/>
    </w:p>
    <w:p>
      <w:pPr>
        <w:pStyle w:val="3seznam"/>
        <w:numPr>
          <w:ilvl w:val="1"/>
          <w:numId w:val="12"/>
        </w:numPr>
        <w:rPr>
          <w:rFonts w:asciiTheme="minorHAnsi" w:hAnsiTheme="minorHAnsi" w:cstheme="minorHAnsi"/>
        </w:rPr>
      </w:pPr>
      <w:r>
        <w:rPr>
          <w:rFonts w:asciiTheme="minorHAnsi" w:hAnsiTheme="minorHAnsi" w:cstheme="minorHAnsi"/>
        </w:rPr>
        <w:t>byt 1: byt 1+1 ve 3.NP na adrese Brodská 1876/27, Žďár nad Sázavou 3 - byt č. 29 (dále jen „byt 1“)</w:t>
      </w:r>
    </w:p>
    <w:p>
      <w:pPr>
        <w:pStyle w:val="3seznam"/>
        <w:numPr>
          <w:ilvl w:val="1"/>
          <w:numId w:val="12"/>
        </w:numPr>
        <w:rPr>
          <w:rFonts w:asciiTheme="minorHAnsi" w:hAnsiTheme="minorHAnsi" w:cstheme="minorHAnsi"/>
        </w:rPr>
      </w:pPr>
      <w:r>
        <w:rPr>
          <w:rFonts w:asciiTheme="minorHAnsi" w:hAnsiTheme="minorHAnsi" w:cstheme="minorHAnsi"/>
        </w:rPr>
        <w:t>byt 2: byt 1+1 v 1.NP na adrese Libušínská</w:t>
      </w:r>
      <w:r>
        <w:t xml:space="preserve"> </w:t>
      </w:r>
      <w:r>
        <w:rPr>
          <w:rFonts w:asciiTheme="minorHAnsi" w:hAnsiTheme="minorHAnsi" w:cstheme="minorHAnsi"/>
        </w:rPr>
        <w:t>203/11, Žďár nad Sázavou 1 - byt č. 1 (dále jen „byt 2“)</w:t>
      </w:r>
    </w:p>
    <w:p>
      <w:pPr>
        <w:pStyle w:val="3seznam"/>
        <w:numPr>
          <w:ilvl w:val="1"/>
          <w:numId w:val="12"/>
        </w:numPr>
        <w:rPr>
          <w:rFonts w:asciiTheme="minorHAnsi" w:hAnsiTheme="minorHAnsi" w:cstheme="minorHAnsi"/>
        </w:rPr>
      </w:pPr>
      <w:r>
        <w:rPr>
          <w:rFonts w:asciiTheme="minorHAnsi" w:hAnsiTheme="minorHAnsi" w:cstheme="minorHAnsi"/>
        </w:rPr>
        <w:t>byt 3: byt 1+1 ve 2.NP na adrese Libušínská</w:t>
      </w:r>
      <w:r>
        <w:t xml:space="preserve"> </w:t>
      </w:r>
      <w:r>
        <w:rPr>
          <w:rFonts w:asciiTheme="minorHAnsi" w:hAnsiTheme="minorHAnsi" w:cstheme="minorHAnsi"/>
        </w:rPr>
        <w:t>203/11, Žďár nad Sázavou 1 - byt č. 19 (dále jen „byt 3“)</w:t>
      </w:r>
    </w:p>
    <w:p>
      <w:pPr>
        <w:pStyle w:val="3seznam"/>
        <w:numPr>
          <w:ilvl w:val="1"/>
          <w:numId w:val="12"/>
        </w:numPr>
        <w:rPr>
          <w:rFonts w:asciiTheme="minorHAnsi" w:hAnsiTheme="minorHAnsi" w:cstheme="minorHAnsi"/>
        </w:rPr>
      </w:pPr>
      <w:r>
        <w:rPr>
          <w:rFonts w:asciiTheme="minorHAnsi" w:hAnsiTheme="minorHAnsi" w:cstheme="minorHAnsi"/>
        </w:rPr>
        <w:t>byt 4: byt 1+1 ve 2.NP na adrese Libušínská</w:t>
      </w:r>
      <w:r>
        <w:t xml:space="preserve"> </w:t>
      </w:r>
      <w:r>
        <w:rPr>
          <w:rFonts w:asciiTheme="minorHAnsi" w:hAnsiTheme="minorHAnsi" w:cstheme="minorHAnsi"/>
        </w:rPr>
        <w:t>203/11, Žďár nad Sázavou 1 - byt č. 24 (dále jen „byt 4“)</w:t>
      </w:r>
    </w:p>
    <w:p>
      <w:pPr>
        <w:pStyle w:val="3seznam"/>
        <w:numPr>
          <w:ilvl w:val="1"/>
          <w:numId w:val="12"/>
        </w:numPr>
        <w:rPr>
          <w:rFonts w:asciiTheme="minorHAnsi" w:hAnsiTheme="minorHAnsi" w:cstheme="minorHAnsi"/>
        </w:rPr>
      </w:pPr>
      <w:r>
        <w:rPr>
          <w:rFonts w:asciiTheme="minorHAnsi" w:hAnsiTheme="minorHAnsi" w:cstheme="minorHAnsi"/>
        </w:rPr>
        <w:t>byt 5: byt 1+1 ve 2.NP na adrese Libušínská</w:t>
      </w:r>
      <w:r>
        <w:t xml:space="preserve"> </w:t>
      </w:r>
      <w:r>
        <w:rPr>
          <w:rFonts w:asciiTheme="minorHAnsi" w:hAnsiTheme="minorHAnsi" w:cstheme="minorHAnsi"/>
        </w:rPr>
        <w:t>203/11, Žďár nad Sázavou 1 - byt č. 30 (dále jen „byt 5“)</w:t>
      </w:r>
    </w:p>
    <w:p>
      <w:pPr>
        <w:pStyle w:val="3seznam"/>
        <w:numPr>
          <w:ilvl w:val="1"/>
          <w:numId w:val="12"/>
        </w:numPr>
        <w:rPr>
          <w:rFonts w:asciiTheme="minorHAnsi" w:hAnsiTheme="minorHAnsi" w:cstheme="minorHAnsi"/>
        </w:rPr>
      </w:pPr>
      <w:r>
        <w:rPr>
          <w:rFonts w:asciiTheme="minorHAnsi" w:hAnsiTheme="minorHAnsi" w:cstheme="minorHAnsi"/>
        </w:rPr>
        <w:t>byt 6: byt 1+1 ve 3.NP na adrese Libušínská</w:t>
      </w:r>
      <w:r>
        <w:t xml:space="preserve"> </w:t>
      </w:r>
      <w:r>
        <w:rPr>
          <w:rFonts w:asciiTheme="minorHAnsi" w:hAnsiTheme="minorHAnsi" w:cstheme="minorHAnsi"/>
        </w:rPr>
        <w:t>204/13, Žďár nad Sázavou 1 - byt č. 39 (dále jen „byt 6“)</w:t>
      </w:r>
    </w:p>
    <w:p>
      <w:pPr>
        <w:pStyle w:val="3seznam"/>
        <w:numPr>
          <w:ilvl w:val="1"/>
          <w:numId w:val="12"/>
        </w:numPr>
        <w:rPr>
          <w:rFonts w:asciiTheme="minorHAnsi" w:hAnsiTheme="minorHAnsi" w:cstheme="minorHAnsi"/>
        </w:rPr>
      </w:pPr>
      <w:r>
        <w:rPr>
          <w:rFonts w:asciiTheme="minorHAnsi" w:hAnsiTheme="minorHAnsi" w:cstheme="minorHAnsi"/>
        </w:rPr>
        <w:t>byt 7: byt 1+1 v 3.NP na adrese Haškova 2168/6, Žďár nad Sázavou 6 - byt č. 7 (dále jen „byt 7“)</w:t>
      </w:r>
    </w:p>
    <w:p>
      <w:pPr>
        <w:pStyle w:val="3seznam"/>
        <w:ind w:left="360"/>
        <w:rPr>
          <w:rFonts w:asciiTheme="minorHAnsi" w:hAnsiTheme="minorHAnsi"/>
        </w:rPr>
      </w:pPr>
      <w:r>
        <w:rPr>
          <w:rFonts w:asciiTheme="minorHAnsi" w:hAnsiTheme="minorHAnsi"/>
        </w:rPr>
        <w:lastRenderedPageBreak/>
        <w:t>(dále jen „Části díla“).</w:t>
      </w:r>
    </w:p>
    <w:p>
      <w:pPr>
        <w:pStyle w:val="mjodstavec"/>
        <w:numPr>
          <w:ilvl w:val="0"/>
          <w:numId w:val="0"/>
        </w:numPr>
        <w:ind w:left="567"/>
        <w:rPr>
          <w:rFonts w:asciiTheme="minorHAnsi" w:hAnsiTheme="minorHAnsi" w:cstheme="minorHAnsi"/>
        </w:rPr>
      </w:pPr>
    </w:p>
    <w:p>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Rozsah a kvalita předmětu díla jsou dány:</w:t>
      </w:r>
    </w:p>
    <w:p>
      <w:pPr>
        <w:pStyle w:val="3seznam"/>
        <w:numPr>
          <w:ilvl w:val="1"/>
          <w:numId w:val="12"/>
        </w:numPr>
        <w:rPr>
          <w:rFonts w:asciiTheme="minorHAnsi" w:hAnsiTheme="minorHAnsi" w:cstheme="minorHAnsi"/>
        </w:rPr>
      </w:pPr>
      <w:r>
        <w:rPr>
          <w:rFonts w:asciiTheme="minorHAnsi" w:hAnsiTheme="minorHAnsi" w:cstheme="minorHAnsi"/>
        </w:rPr>
        <w:t xml:space="preserve">Vzorovými projektovými dokumentacemi zpracovanými Ing. Zbyňkem Semerádem, Žďár nad Sázavou, IČO 45646597, </w:t>
      </w:r>
    </w:p>
    <w:p>
      <w:pPr>
        <w:pStyle w:val="3seznam"/>
        <w:numPr>
          <w:ilvl w:val="1"/>
          <w:numId w:val="12"/>
        </w:numPr>
        <w:rPr>
          <w:rFonts w:asciiTheme="minorHAnsi" w:hAnsiTheme="minorHAnsi" w:cstheme="minorHAnsi"/>
        </w:rPr>
      </w:pPr>
      <w:r>
        <w:rPr>
          <w:rFonts w:asciiTheme="minorHAnsi" w:hAnsiTheme="minorHAnsi" w:cstheme="minorHAnsi"/>
        </w:rPr>
        <w:t>Vzorovými projektovými dokumentacemi – elektrické rozvody zpracovanými Jaroslavem Novotným, IČO 18535381,</w:t>
      </w:r>
    </w:p>
    <w:p>
      <w:pPr>
        <w:pStyle w:val="3seznam"/>
        <w:numPr>
          <w:ilvl w:val="1"/>
          <w:numId w:val="12"/>
        </w:numPr>
        <w:rPr>
          <w:rFonts w:asciiTheme="minorHAnsi" w:hAnsiTheme="minorHAnsi" w:cstheme="minorHAnsi"/>
        </w:rPr>
      </w:pPr>
      <w:r>
        <w:rPr>
          <w:rFonts w:asciiTheme="minorHAnsi" w:hAnsiTheme="minorHAnsi" w:cstheme="minorHAnsi"/>
        </w:rPr>
        <w:t>Soupisem stavebních prací, dodávek a služeb s výkazem výměr na byt 1</w:t>
      </w:r>
    </w:p>
    <w:p>
      <w:pPr>
        <w:pStyle w:val="3seznam"/>
        <w:numPr>
          <w:ilvl w:val="1"/>
          <w:numId w:val="12"/>
        </w:numPr>
        <w:rPr>
          <w:rFonts w:asciiTheme="minorHAnsi" w:hAnsiTheme="minorHAnsi" w:cstheme="minorHAnsi"/>
        </w:rPr>
      </w:pPr>
      <w:r>
        <w:rPr>
          <w:rFonts w:asciiTheme="minorHAnsi" w:hAnsiTheme="minorHAnsi" w:cstheme="minorHAnsi"/>
        </w:rPr>
        <w:t>Soupisem stavebních prací, dodávek a služeb s výkazem výměr na byt 2</w:t>
      </w:r>
    </w:p>
    <w:p>
      <w:pPr>
        <w:pStyle w:val="3seznam"/>
        <w:numPr>
          <w:ilvl w:val="1"/>
          <w:numId w:val="12"/>
        </w:numPr>
        <w:rPr>
          <w:rFonts w:asciiTheme="minorHAnsi" w:hAnsiTheme="minorHAnsi" w:cstheme="minorHAnsi"/>
        </w:rPr>
      </w:pPr>
      <w:r>
        <w:rPr>
          <w:rFonts w:asciiTheme="minorHAnsi" w:hAnsiTheme="minorHAnsi" w:cstheme="minorHAnsi"/>
        </w:rPr>
        <w:t>Soupisem stavebních prací, dodávek a služeb s výkazem výměr na byt 3</w:t>
      </w:r>
    </w:p>
    <w:p>
      <w:pPr>
        <w:pStyle w:val="3seznam"/>
        <w:numPr>
          <w:ilvl w:val="1"/>
          <w:numId w:val="12"/>
        </w:numPr>
        <w:rPr>
          <w:rFonts w:asciiTheme="minorHAnsi" w:hAnsiTheme="minorHAnsi" w:cstheme="minorHAnsi"/>
        </w:rPr>
      </w:pPr>
      <w:r>
        <w:rPr>
          <w:rFonts w:asciiTheme="minorHAnsi" w:hAnsiTheme="minorHAnsi" w:cstheme="minorHAnsi"/>
        </w:rPr>
        <w:t>Soupisem stavebních prací, dodávek a služeb s výkazem výměr na byt 4</w:t>
      </w:r>
    </w:p>
    <w:p>
      <w:pPr>
        <w:pStyle w:val="3seznam"/>
        <w:numPr>
          <w:ilvl w:val="1"/>
          <w:numId w:val="12"/>
        </w:numPr>
        <w:rPr>
          <w:rFonts w:asciiTheme="minorHAnsi" w:hAnsiTheme="minorHAnsi" w:cstheme="minorHAnsi"/>
        </w:rPr>
      </w:pPr>
      <w:r>
        <w:rPr>
          <w:rFonts w:asciiTheme="minorHAnsi" w:hAnsiTheme="minorHAnsi" w:cstheme="minorHAnsi"/>
        </w:rPr>
        <w:t>Soupisem stavebních prací, dodávek a služeb s výkazem výměr na byt 5</w:t>
      </w:r>
    </w:p>
    <w:p>
      <w:pPr>
        <w:pStyle w:val="3seznam"/>
        <w:numPr>
          <w:ilvl w:val="1"/>
          <w:numId w:val="12"/>
        </w:numPr>
        <w:rPr>
          <w:rFonts w:asciiTheme="minorHAnsi" w:hAnsiTheme="minorHAnsi" w:cstheme="minorHAnsi"/>
        </w:rPr>
      </w:pPr>
      <w:r>
        <w:rPr>
          <w:rFonts w:asciiTheme="minorHAnsi" w:hAnsiTheme="minorHAnsi" w:cstheme="minorHAnsi"/>
        </w:rPr>
        <w:t>Soupisem stavebních prací, dodávek a služeb s výkazem výměr na byt 6</w:t>
      </w:r>
    </w:p>
    <w:p>
      <w:pPr>
        <w:pStyle w:val="3seznam"/>
        <w:numPr>
          <w:ilvl w:val="1"/>
          <w:numId w:val="12"/>
        </w:numPr>
        <w:rPr>
          <w:rFonts w:asciiTheme="minorHAnsi" w:hAnsiTheme="minorHAnsi" w:cstheme="minorHAnsi"/>
        </w:rPr>
      </w:pPr>
      <w:r>
        <w:rPr>
          <w:rFonts w:asciiTheme="minorHAnsi" w:hAnsiTheme="minorHAnsi" w:cstheme="minorHAnsi"/>
        </w:rPr>
        <w:t>Soupisem stavebních prací, dodávek a služeb s výkazem výměr na byt 7</w:t>
      </w:r>
    </w:p>
    <w:p>
      <w:pPr>
        <w:pStyle w:val="3seznam"/>
        <w:numPr>
          <w:ilvl w:val="1"/>
          <w:numId w:val="12"/>
        </w:numPr>
        <w:rPr>
          <w:rFonts w:asciiTheme="minorHAnsi" w:hAnsiTheme="minorHAnsi" w:cstheme="minorHAnsi"/>
        </w:rPr>
      </w:pPr>
      <w:r>
        <w:rPr>
          <w:rFonts w:asciiTheme="minorHAnsi" w:hAnsiTheme="minorHAnsi" w:cstheme="minorHAnsi"/>
        </w:rPr>
        <w:t>Požadavky specifikace Standardů vybavení a provedení rekonstrukce bytů</w:t>
      </w:r>
    </w:p>
    <w:p>
      <w:pPr>
        <w:pStyle w:val="3seznam"/>
        <w:numPr>
          <w:ilvl w:val="1"/>
          <w:numId w:val="12"/>
        </w:numPr>
        <w:rPr>
          <w:rFonts w:asciiTheme="minorHAnsi" w:hAnsiTheme="minorHAnsi" w:cstheme="minorHAnsi"/>
        </w:rPr>
      </w:pPr>
      <w:r>
        <w:rPr>
          <w:rFonts w:asciiTheme="minorHAnsi" w:hAnsiTheme="minorHAnsi" w:cstheme="minorHAnsi"/>
        </w:rPr>
        <w:t>Příslušnými normami a předpisy platnými v době provádění díla.</w:t>
      </w:r>
    </w:p>
    <w:p>
      <w:pPr>
        <w:pStyle w:val="Odstavecseseznamem"/>
        <w:ind w:left="792"/>
        <w:jc w:val="both"/>
        <w:rPr>
          <w:rFonts w:asciiTheme="minorHAnsi" w:hAnsiTheme="minorHAnsi" w:cstheme="minorHAnsi"/>
          <w:sz w:val="22"/>
          <w:szCs w:val="22"/>
        </w:rPr>
      </w:pPr>
    </w:p>
    <w:p>
      <w:pPr>
        <w:numPr>
          <w:ilvl w:val="0"/>
          <w:numId w:val="12"/>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12"/>
        </w:numPr>
        <w:tabs>
          <w:tab w:val="left" w:pos="851"/>
        </w:tabs>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12"/>
        </w:numPr>
        <w:tabs>
          <w:tab w:val="left" w:pos="851"/>
        </w:tabs>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12"/>
        </w:numPr>
        <w:tabs>
          <w:tab w:val="left" w:pos="851"/>
        </w:tabs>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12"/>
        </w:numPr>
        <w:tabs>
          <w:tab w:val="left" w:pos="851"/>
        </w:tabs>
        <w:jc w:val="both"/>
        <w:rPr>
          <w:rFonts w:ascii="Calibri" w:hAnsi="Calibri"/>
          <w:sz w:val="22"/>
          <w:szCs w:val="22"/>
        </w:rPr>
      </w:pPr>
      <w:r>
        <w:rPr>
          <w:rFonts w:ascii="Calibri" w:hAnsi="Calibri"/>
          <w:sz w:val="22"/>
          <w:szCs w:val="22"/>
        </w:rPr>
        <w:t>průběžný odvoz veškerého odpadu vzniklého při realizaci Díla, v souladu s příslušnými ustanoveními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 zajištění průběžného třídění jednotlivých druhů využitelných odpadů (papír a lepenka, dřevo, plasty a kovy) a jejich předání k likvidaci na sběrném dvoře na ul. Jihlavské, dalšímu zpracování odpadů jménem objednatele pro původce Město Žďár nad Sázavou na náklady zhotovitele.</w:t>
      </w:r>
    </w:p>
    <w:p>
      <w:pPr>
        <w:numPr>
          <w:ilvl w:val="1"/>
          <w:numId w:val="12"/>
        </w:numPr>
        <w:tabs>
          <w:tab w:val="left" w:pos="851"/>
        </w:tabs>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12"/>
        </w:numPr>
        <w:tabs>
          <w:tab w:val="left" w:pos="851"/>
        </w:tabs>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12"/>
        </w:numPr>
        <w:tabs>
          <w:tab w:val="left" w:pos="851"/>
        </w:tabs>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12"/>
        </w:numPr>
        <w:tabs>
          <w:tab w:val="left" w:pos="851"/>
        </w:tabs>
        <w:jc w:val="both"/>
        <w:rPr>
          <w:rFonts w:ascii="Calibri" w:hAnsi="Calibri"/>
          <w:sz w:val="22"/>
          <w:szCs w:val="22"/>
        </w:rPr>
      </w:pPr>
      <w:r>
        <w:rPr>
          <w:rFonts w:ascii="Calibri" w:hAnsi="Calibri"/>
          <w:sz w:val="22"/>
          <w:szCs w:val="22"/>
        </w:rPr>
        <w:t>provedení průběžného a závěrečného úklidu staveniště a uvedení okolních ploch do původního stavu, a to včetně úklidu společných prostor, pokud byly prováděním Díla znečištěny;</w:t>
      </w:r>
    </w:p>
    <w:p>
      <w:pPr>
        <w:numPr>
          <w:ilvl w:val="1"/>
          <w:numId w:val="12"/>
        </w:numPr>
        <w:tabs>
          <w:tab w:val="left" w:pos="851"/>
        </w:tabs>
        <w:jc w:val="both"/>
        <w:rPr>
          <w:rFonts w:ascii="Calibri" w:hAnsi="Calibri"/>
          <w:sz w:val="22"/>
          <w:szCs w:val="22"/>
        </w:rPr>
      </w:pPr>
      <w:r>
        <w:rPr>
          <w:rFonts w:ascii="Calibri" w:hAnsi="Calibri"/>
          <w:sz w:val="22"/>
          <w:szCs w:val="22"/>
        </w:rPr>
        <w:t xml:space="preserve">provedení veškerých předepsaných zkoušek všech prvků, systémů a zařízení tvořících Dílo včetně vystavení dokladů o jejich provedení, doložení atestů, certifikátů, prohlášení o shodě, </w:t>
      </w:r>
      <w:r>
        <w:rPr>
          <w:rFonts w:ascii="Calibri" w:hAnsi="Calibri"/>
          <w:sz w:val="22"/>
          <w:szCs w:val="22"/>
        </w:rPr>
        <w:lastRenderedPageBreak/>
        <w:t>revizí a ostatních dokladů potřebných pro možnost jejich řádného provozování ve smyslu platných a účinných právních předpisů apod. a jejich předání Objednateli;</w:t>
      </w:r>
    </w:p>
    <w:p>
      <w:pPr>
        <w:numPr>
          <w:ilvl w:val="1"/>
          <w:numId w:val="12"/>
        </w:numPr>
        <w:tabs>
          <w:tab w:val="left" w:pos="851"/>
          <w:tab w:val="left" w:pos="993"/>
        </w:tabs>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12"/>
        </w:numPr>
        <w:tabs>
          <w:tab w:val="left" w:pos="851"/>
          <w:tab w:val="left" w:pos="993"/>
        </w:tabs>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12"/>
        </w:numPr>
        <w:tabs>
          <w:tab w:val="left" w:pos="851"/>
          <w:tab w:val="left" w:pos="993"/>
        </w:tabs>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12"/>
        </w:numPr>
        <w:tabs>
          <w:tab w:val="left" w:pos="851"/>
          <w:tab w:val="left" w:pos="993"/>
        </w:tabs>
        <w:jc w:val="both"/>
        <w:rPr>
          <w:rFonts w:ascii="Calibri" w:hAnsi="Calibri"/>
          <w:sz w:val="22"/>
          <w:szCs w:val="22"/>
        </w:rPr>
      </w:pPr>
      <w:r>
        <w:rPr>
          <w:rFonts w:ascii="Calibri" w:hAnsi="Calibri"/>
          <w:sz w:val="22"/>
          <w:szCs w:val="22"/>
        </w:rPr>
        <w:t>zhotovení dokumentace skutečného provedení Díla a její předání Objednateli.</w:t>
      </w:r>
    </w:p>
    <w:p>
      <w:pPr>
        <w:tabs>
          <w:tab w:val="left" w:pos="851"/>
          <w:tab w:val="left" w:pos="993"/>
        </w:tabs>
        <w:ind w:left="792"/>
        <w:jc w:val="both"/>
        <w:rPr>
          <w:rFonts w:ascii="Calibri" w:hAnsi="Calibri"/>
          <w:sz w:val="22"/>
          <w:szCs w:val="22"/>
        </w:rPr>
      </w:pPr>
    </w:p>
    <w:p>
      <w:pPr>
        <w:numPr>
          <w:ilvl w:val="0"/>
          <w:numId w:val="12"/>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pPr>
        <w:jc w:val="both"/>
        <w:rPr>
          <w:rFonts w:ascii="Calibri" w:hAnsi="Calibri"/>
          <w:sz w:val="22"/>
          <w:szCs w:val="22"/>
        </w:rPr>
      </w:pPr>
    </w:p>
    <w:p>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převzal a seznámil se se vzorovými Projektovými dokumentacemi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
      <w:pPr>
        <w:numPr>
          <w:ilvl w:val="0"/>
          <w:numId w:val="12"/>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pStyle w:val="Odstavecseseznamem"/>
        <w:rPr>
          <w:rFonts w:ascii="Calibri" w:hAnsi="Calibri"/>
          <w:sz w:val="22"/>
          <w:szCs w:val="22"/>
        </w:rPr>
      </w:pPr>
    </w:p>
    <w:p>
      <w:pPr>
        <w:jc w:val="both"/>
        <w:rPr>
          <w:rFonts w:ascii="Calibri" w:hAnsi="Calibri"/>
          <w:sz w:val="22"/>
          <w:szCs w:val="22"/>
        </w:rPr>
      </w:pPr>
    </w:p>
    <w:p>
      <w:pPr>
        <w:pStyle w:val="Nadpis1"/>
        <w:rPr>
          <w:szCs w:val="22"/>
        </w:rPr>
      </w:pPr>
      <w:r>
        <w:rPr>
          <w:szCs w:val="22"/>
        </w:rPr>
        <w:t>PODMÍNKY PLNĚNÍ PŘEDMĚTU SMLOUVY</w:t>
      </w:r>
    </w:p>
    <w:p>
      <w:pPr>
        <w:suppressAutoHyphens/>
        <w:ind w:left="567"/>
        <w:jc w:val="both"/>
        <w:rPr>
          <w:rFonts w:ascii="Calibri" w:hAnsi="Calibri"/>
          <w:sz w:val="22"/>
          <w:szCs w:val="22"/>
        </w:rPr>
      </w:pPr>
    </w:p>
    <w:p>
      <w:pPr>
        <w:numPr>
          <w:ilvl w:val="0"/>
          <w:numId w:val="12"/>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jc w:val="both"/>
        <w:rPr>
          <w:b/>
          <w:bCs/>
          <w:snapToGrid w:val="0"/>
          <w:color w:val="000000"/>
        </w:rPr>
      </w:pPr>
    </w:p>
    <w:p>
      <w:pPr>
        <w:numPr>
          <w:ilvl w:val="0"/>
          <w:numId w:val="12"/>
        </w:numPr>
        <w:jc w:val="both"/>
        <w:rPr>
          <w:rFonts w:ascii="Calibri" w:hAnsi="Calibri"/>
          <w:sz w:val="22"/>
          <w:szCs w:val="22"/>
        </w:rPr>
      </w:pPr>
      <w:r>
        <w:rPr>
          <w:rFonts w:ascii="Calibri" w:hAnsi="Calibri"/>
          <w:sz w:val="22"/>
          <w:szCs w:val="22"/>
        </w:rPr>
        <w:t>Omezení provádění prací</w:t>
      </w:r>
    </w:p>
    <w:p>
      <w:pPr>
        <w:pStyle w:val="mjodstavec"/>
        <w:numPr>
          <w:ilvl w:val="1"/>
          <w:numId w:val="12"/>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Zhotovitel je povinen realizovat práce při zohlednění skutečnosti, že probíhají za provozu obydleného objektu a práce realizovat </w:t>
      </w:r>
      <w:proofErr w:type="gramStart"/>
      <w:r>
        <w:rPr>
          <w:rFonts w:asciiTheme="minorHAnsi" w:hAnsiTheme="minorHAnsi" w:cstheme="minorHAnsi"/>
          <w:snapToGrid w:val="0"/>
          <w:color w:val="000000"/>
        </w:rPr>
        <w:t>s</w:t>
      </w:r>
      <w:proofErr w:type="gramEnd"/>
      <w:r>
        <w:rPr>
          <w:rFonts w:asciiTheme="minorHAnsi" w:hAnsiTheme="minorHAnsi" w:cstheme="minorHAnsi"/>
          <w:snapToGrid w:val="0"/>
          <w:color w:val="000000"/>
        </w:rPr>
        <w:t> pokud možno co nejmenšími dopady na obyvatele objektu. Provádět práce pouze v době stanovené Objednatelem tak, aby nebyl narušen zásadním způsobem běžný provoz bytového domu, a to následovně:</w:t>
      </w:r>
    </w:p>
    <w:p>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v pracovní </w:t>
      </w:r>
      <w:r>
        <w:rPr>
          <w:rFonts w:asciiTheme="minorHAnsi" w:hAnsiTheme="minorHAnsi" w:cstheme="minorHAnsi"/>
        </w:rPr>
        <w:t>dny je možno zahájit práce nejdříve v 6:30 hod, ukončit nejpozději v 19:00 hodin, nebude-li dohodnuto jinak,</w:t>
      </w:r>
    </w:p>
    <w:p>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bourací práce budou prováděny pouze ve dnech pondělí-pátek od 07:00 do 15:00 hodin, </w:t>
      </w:r>
      <w:r>
        <w:rPr>
          <w:rFonts w:asciiTheme="minorHAnsi" w:hAnsiTheme="minorHAnsi" w:cstheme="minorHAnsi"/>
        </w:rPr>
        <w:t>nebude-li dohodnuto jinak,</w:t>
      </w:r>
    </w:p>
    <w:p>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rPr>
        <w:t xml:space="preserve">ve </w:t>
      </w:r>
      <w:r>
        <w:rPr>
          <w:rFonts w:asciiTheme="minorHAnsi" w:hAnsiTheme="minorHAnsi" w:cstheme="minorHAnsi"/>
          <w:snapToGrid w:val="0"/>
          <w:color w:val="000000"/>
        </w:rPr>
        <w:t>státem uznaných dnech pracovního volna a svátcích lze práce provádět pouze v nezbytně nutném rozsahu a po předchozí domluvě s Objednatelem,</w:t>
      </w:r>
    </w:p>
    <w:p>
      <w:pPr>
        <w:pStyle w:val="mjodstavec"/>
        <w:numPr>
          <w:ilvl w:val="0"/>
          <w:numId w:val="25"/>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podrobnosti budou dohodnuty při předání staveniště.</w:t>
      </w:r>
    </w:p>
    <w:p>
      <w:pPr>
        <w:pStyle w:val="mjodstavec"/>
        <w:numPr>
          <w:ilvl w:val="1"/>
          <w:numId w:val="12"/>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Zhotovitel je povinen v objektech Libušínská 203/11 a 204/13 zabezpečit nepřetěžování výtahu, pokud jej bude používat pro přesun hmot a stavebního materiálu.</w:t>
      </w:r>
    </w:p>
    <w:p>
      <w:pPr>
        <w:pStyle w:val="mjodstavec"/>
        <w:numPr>
          <w:ilvl w:val="0"/>
          <w:numId w:val="12"/>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Zhotovitel </w:t>
      </w:r>
      <w:r>
        <w:rPr>
          <w:rFonts w:ascii="Calibri" w:hAnsi="Calibri"/>
        </w:rPr>
        <w:t>je povinen před zahájením stavebních prací projednat s vlastníky komunikací podmínky užívání komunikací při provádění Díla.</w:t>
      </w:r>
    </w:p>
    <w:p>
      <w:pPr>
        <w:pStyle w:val="mjodstavec"/>
        <w:numPr>
          <w:ilvl w:val="0"/>
          <w:numId w:val="12"/>
        </w:numPr>
        <w:tabs>
          <w:tab w:val="left" w:pos="851"/>
        </w:tabs>
        <w:rPr>
          <w:rFonts w:asciiTheme="minorHAnsi" w:hAnsiTheme="minorHAnsi" w:cstheme="minorHAnsi"/>
          <w:snapToGrid w:val="0"/>
          <w:color w:val="000000"/>
        </w:rPr>
      </w:pPr>
      <w:r>
        <w:rPr>
          <w:rFonts w:ascii="Calibri" w:hAnsi="Calibri"/>
        </w:rPr>
        <w:lastRenderedPageBreak/>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plnění předmětu Smlouvy.</w:t>
      </w:r>
    </w:p>
    <w:p>
      <w:pPr>
        <w:pStyle w:val="mjodstavec"/>
        <w:numPr>
          <w:ilvl w:val="0"/>
          <w:numId w:val="12"/>
        </w:numPr>
        <w:tabs>
          <w:tab w:val="left" w:pos="851"/>
        </w:tabs>
        <w:rPr>
          <w:rFonts w:asciiTheme="minorHAnsi" w:hAnsiTheme="minorHAnsi" w:cstheme="minorHAnsi"/>
          <w:snapToGrid w:val="0"/>
          <w:color w:val="000000"/>
        </w:rPr>
      </w:pPr>
      <w:r>
        <w:rPr>
          <w:rFonts w:ascii="Calibri" w:hAnsi="Calibri"/>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pPr>
        <w:pStyle w:val="mjodstavec"/>
        <w:numPr>
          <w:ilvl w:val="0"/>
          <w:numId w:val="12"/>
        </w:numPr>
        <w:tabs>
          <w:tab w:val="left" w:pos="851"/>
        </w:tabs>
        <w:rPr>
          <w:rFonts w:asciiTheme="minorHAnsi" w:hAnsiTheme="minorHAnsi" w:cstheme="minorHAnsi"/>
          <w:snapToGrid w:val="0"/>
          <w:color w:val="000000"/>
        </w:rPr>
      </w:pPr>
      <w:r>
        <w:rPr>
          <w:rFonts w:asciiTheme="minorHAnsi" w:hAnsiTheme="minorHAnsi" w:cstheme="minorHAnsi"/>
          <w:snapToGrid w:val="0"/>
          <w:color w:val="000000"/>
        </w:rPr>
        <w:t xml:space="preserve">Zhotovitel </w:t>
      </w:r>
      <w:r>
        <w:rPr>
          <w:rFonts w:asciiTheme="minorHAnsi" w:hAnsiTheme="minorHAnsi" w:cstheme="minorHAnsi"/>
        </w:rPr>
        <w:t>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pStyle w:val="mjodstavec"/>
        <w:numPr>
          <w:ilvl w:val="0"/>
          <w:numId w:val="12"/>
        </w:numPr>
        <w:tabs>
          <w:tab w:val="left" w:pos="851"/>
        </w:tabs>
        <w:rPr>
          <w:rFonts w:asciiTheme="minorHAnsi" w:hAnsiTheme="minorHAnsi" w:cstheme="minorHAnsi"/>
          <w:snapToGrid w:val="0"/>
          <w:color w:val="000000"/>
        </w:rPr>
      </w:pPr>
      <w:r>
        <w:rPr>
          <w:rFonts w:asciiTheme="minorHAnsi" w:hAnsiTheme="minorHAnsi" w:cstheme="minorHAnsi"/>
        </w:rPr>
        <w:t xml:space="preserve">Zhotovitel </w:t>
      </w:r>
      <w:r>
        <w:rPr>
          <w:rFonts w:ascii="Calibri" w:hAnsi="Calibri"/>
        </w:rPr>
        <w:t xml:space="preserve">je povinen informovat Objednatele o stavu rozpracovaného Díla na pravidelných poradách (tzv. kontrolních dnech), které bude Objednatel organizovat podle potřeby, nejméně jednou za </w:t>
      </w:r>
      <w:sdt>
        <w:sdtPr>
          <w:rPr>
            <w:rFonts w:ascii="Calibri" w:hAnsi="Calibri"/>
          </w:rPr>
          <w:id w:val="1712378717"/>
          <w:placeholder>
            <w:docPart w:val="77AD602D2442485FBA9C13B8C2866550"/>
          </w:placeholder>
          <w:comboBox>
            <w:listItem w:value="Zvolte položku."/>
            <w:listItem w:displayText="7" w:value="7"/>
            <w:listItem w:displayText="14" w:value="14"/>
          </w:comboBox>
        </w:sdtPr>
        <w:sdtContent>
          <w:r>
            <w:rPr>
              <w:rFonts w:ascii="Calibri" w:hAnsi="Calibri"/>
            </w:rPr>
            <w:t>7</w:t>
          </w:r>
        </w:sdtContent>
      </w:sdt>
      <w:r>
        <w:rPr>
          <w:rFonts w:ascii="Calibri" w:hAnsi="Calibri"/>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pStyle w:val="mjodstavec"/>
        <w:numPr>
          <w:ilvl w:val="0"/>
          <w:numId w:val="12"/>
        </w:numPr>
        <w:tabs>
          <w:tab w:val="left" w:pos="851"/>
        </w:tabs>
        <w:rPr>
          <w:rFonts w:asciiTheme="minorHAnsi" w:hAnsiTheme="minorHAnsi" w:cstheme="minorHAnsi"/>
          <w:snapToGrid w:val="0"/>
          <w:color w:val="000000"/>
        </w:rPr>
      </w:pPr>
      <w:r>
        <w:rPr>
          <w:rFonts w:asciiTheme="minorHAnsi" w:hAnsiTheme="minorHAnsi" w:cstheme="minorHAnsi"/>
        </w:rPr>
        <w:t>Zhotovitel je povinen průběžně zvát Objednatele nebo TDS ke kontrole všech prací, které mají být zakryty nebo se stanou nepřístupnými, a to před zakrytím prací. 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Zhotovitel je povinen umožnit výkon TDS a poskytnout součinnost osobě pověřené výkonem funkce TDS při provádění Díla. TDS neprovádí Zhotovitel ani osoba s ním propojená.</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Zhotovitel je povinen odstranit veškeré vady a nedodělky zjištěné při kontrolách Objednatele, TDS nebo AD prováděných dle Smlouvy nebo při kontrolních prohlídkách předepsaných stavebním úřadem do dne dohodnutého s Objednatelem, TDS nebo AD, nejpozději do dne předání Díla Objednateli.</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Zhotovitel poskytuje Objednateli podpisem Smlouvy nevýhradní licenci ke všem plněním, ke kterým se zavázal podle Smlouvy a která jsou nebo budou chráněna autorským právem.</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lastRenderedPageBreak/>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 Plachta bude realizována na pokyn Objednatele u relevantních staveb.</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Zhotovitel se zavazuje provést vzorkování vybraných prvků Díla (dále také jen „Vzorky“). Bez schválení Vzorku Objednatelem nesmí být jemu odpovídající materiál, výrobek či prvek zapracován do Díla. Vzorek je schválen podpisem Objednatele na protokolu o vzorkování, který vypracuje Zhotovitel.</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 xml:space="preserve">Vzorkování proběhne tak, že Objednatel Zhotoviteli sdělí, že u konkrétního prvku Díla požaduje provést vzorkování a Zhotovitel poté nejpozději do </w:t>
      </w:r>
      <w:bookmarkStart w:id="2" w:name="_Hlk88437487"/>
      <w:sdt>
        <w:sdtPr>
          <w:rPr>
            <w:rFonts w:asciiTheme="minorHAnsi" w:hAnsiTheme="minorHAnsi" w:cstheme="minorHAnsi"/>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Content>
          <w:r>
            <w:rPr>
              <w:rFonts w:asciiTheme="minorHAnsi" w:hAnsiTheme="minorHAnsi" w:cstheme="minorHAnsi"/>
            </w:rPr>
            <w:t>5</w:t>
          </w:r>
        </w:sdtContent>
      </w:sdt>
      <w:bookmarkEnd w:id="2"/>
      <w:r>
        <w:rPr>
          <w:rFonts w:asciiTheme="minorHAnsi" w:hAnsiTheme="minorHAnsi" w:cstheme="minorHAnsi"/>
        </w:rPr>
        <w:t xml:space="preserve"> dní předloží požadované Vzorky v místě provádění Díla Objednateli. O předložení Vzorků vyrozumí Zhotovitel Objednatele alespoň </w:t>
      </w:r>
      <w:sdt>
        <w:sdtPr>
          <w:rPr>
            <w:rFonts w:asciiTheme="minorHAnsi" w:hAnsiTheme="minorHAnsi" w:cstheme="minorHAnsi"/>
          </w:rPr>
          <w:id w:val="-103039376"/>
          <w:placeholder>
            <w:docPart w:val="A2E93F46EFBB450EAAA74C9B0F3D751D"/>
          </w:placeholder>
          <w:comboBox>
            <w:listItem w:value="Zvolte položku."/>
            <w:listItem w:displayText="3" w:value="3"/>
            <w:listItem w:displayText="5" w:value="5"/>
          </w:comboBox>
        </w:sdtPr>
        <w:sdtContent>
          <w:r>
            <w:rPr>
              <w:rFonts w:asciiTheme="minorHAnsi" w:hAnsiTheme="minorHAnsi" w:cstheme="minorHAnsi"/>
            </w:rPr>
            <w:t>3</w:t>
          </w:r>
        </w:sdtContent>
      </w:sdt>
      <w:r>
        <w:rPr>
          <w:rFonts w:asciiTheme="minorHAnsi" w:hAnsiTheme="minorHAnsi" w:cstheme="minorHAnsi"/>
        </w:rPr>
        <w:t xml:space="preserve"> pracovní dny předem.</w:t>
      </w:r>
    </w:p>
    <w:p>
      <w:pPr>
        <w:pStyle w:val="mjodstavec"/>
        <w:numPr>
          <w:ilvl w:val="0"/>
          <w:numId w:val="12"/>
        </w:numPr>
        <w:tabs>
          <w:tab w:val="left" w:pos="851"/>
        </w:tabs>
        <w:rPr>
          <w:rFonts w:asciiTheme="minorHAnsi" w:hAnsiTheme="minorHAnsi" w:cstheme="minorHAnsi"/>
        </w:rPr>
      </w:pPr>
      <w:r>
        <w:rPr>
          <w:rFonts w:asciiTheme="minorHAnsi" w:hAnsiTheme="minorHAnsi" w:cstheme="minorHAnsi"/>
        </w:rPr>
        <w:t xml:space="preserve">Shledá-li Objednatel, že Vzorek nevyhovuje požadavkům Objednatele, informuje o tom Zhotovitele, který je povinen Vzorek upravit nebo nahradit novým a předložit jej Objednateli nejpozději do </w:t>
      </w:r>
      <w:sdt>
        <w:sdtPr>
          <w:rPr>
            <w:rFonts w:asciiTheme="minorHAnsi" w:hAnsiTheme="minorHAnsi" w:cstheme="minorHAnsi"/>
          </w:rPr>
          <w:id w:val="108634423"/>
          <w:placeholder>
            <w:docPart w:val="D74AD705E0EE4E1BA1042E55ED6D1D73"/>
          </w:placeholder>
          <w:showingPlcHdr/>
          <w:comboBox>
            <w:listItem w:value="Zvolte položku."/>
            <w:listItem w:displayText="3" w:value="3"/>
            <w:listItem w:displayText="5" w:value="5"/>
            <w:listItem w:displayText="7" w:value="7"/>
          </w:comboBox>
        </w:sdtPr>
        <w:sdtContent>
          <w:r>
            <w:rPr>
              <w:rFonts w:asciiTheme="minorHAnsi" w:hAnsiTheme="minorHAnsi" w:cstheme="minorHAnsi"/>
            </w:rPr>
            <w:t>zvolte položku</w:t>
          </w:r>
        </w:sdtContent>
      </w:sdt>
      <w:r>
        <w:rPr>
          <w:rFonts w:asciiTheme="minorHAnsi" w:hAnsiTheme="minorHAnsi" w:cstheme="minorHAnsi"/>
        </w:rPr>
        <w:t xml:space="preserve"> dnů k novému posouzení a schválení. Nesplňuje-li ani upravený nebo nově předložený Vzorek požadavky Objednatele, jedná se o podstatné porušení Smlouvy.</w:t>
      </w:r>
    </w:p>
    <w:p>
      <w:pPr>
        <w:pStyle w:val="mjodstavec"/>
        <w:numPr>
          <w:ilvl w:val="0"/>
          <w:numId w:val="12"/>
        </w:numPr>
        <w:rPr>
          <w:rFonts w:asciiTheme="minorHAnsi" w:hAnsiTheme="minorHAnsi" w:cstheme="minorHAnsi"/>
        </w:rPr>
      </w:pPr>
      <w:r>
        <w:rPr>
          <w:rFonts w:asciiTheme="minorHAnsi" w:hAnsiTheme="minorHAnsi" w:cstheme="minorHAnsi"/>
        </w:rPr>
        <w:t xml:space="preserve">Zhotovitel je povinen v rámci předmětu díla provést veškeré práce, dodávky, služby a výkony, kterých je třeba trvale nebo dočasně k zahájení, dokončení a předání předmětu díla a uvedení do řádného provozu (např. zařízení, zabezpečení a zrušení zařízení staveniště; vytyčovací </w:t>
      </w:r>
      <w:proofErr w:type="gramStart"/>
      <w:r>
        <w:rPr>
          <w:rFonts w:asciiTheme="minorHAnsi" w:hAnsiTheme="minorHAnsi" w:cstheme="minorHAnsi"/>
        </w:rPr>
        <w:t>práce -vytyčení</w:t>
      </w:r>
      <w:proofErr w:type="gramEnd"/>
      <w:r>
        <w:rPr>
          <w:rFonts w:asciiTheme="minorHAnsi" w:hAnsiTheme="minorHAnsi" w:cstheme="minorHAnsi"/>
        </w:rPr>
        <w:t xml:space="preserve"> stavby (směrové a výškové); zajištění veškerých stávajících rozvodů a jejich zabezpečení před případným poškozením</w:t>
      </w:r>
      <w:r>
        <w:rPr>
          <w:rFonts w:asciiTheme="minorHAnsi" w:hAnsiTheme="minorHAnsi" w:cstheme="minorHAnsi"/>
          <w:color w:val="FF0000"/>
        </w:rPr>
        <w:t>.</w:t>
      </w:r>
    </w:p>
    <w:p>
      <w:pPr>
        <w:pStyle w:val="mjodstavec"/>
        <w:numPr>
          <w:ilvl w:val="0"/>
          <w:numId w:val="12"/>
        </w:numPr>
        <w:rPr>
          <w:rFonts w:asciiTheme="minorHAnsi" w:hAnsiTheme="minorHAnsi" w:cstheme="minorHAnsi"/>
        </w:rPr>
      </w:pPr>
      <w:r>
        <w:rPr>
          <w:rFonts w:asciiTheme="minorHAnsi" w:hAnsiTheme="minorHAnsi" w:cstheme="minorHAnsi"/>
        </w:rPr>
        <w:t>Případné změny nebo rozšíření předmětu díla, oproti přijaté nabídce zhotovitele, požadované objednatelem nebo vyplynou-li v průběhu výstavby, budou předem smluvními stranami písemně odsouhlaseny vč. přípočtů a odpočtů. Teprve po jejich odsouhlasení může zhotovitel tyto změny provést a má právo na jejich úhradu.</w:t>
      </w:r>
    </w:p>
    <w:p>
      <w:pPr>
        <w:pStyle w:val="mjodstavec"/>
        <w:numPr>
          <w:ilvl w:val="0"/>
          <w:numId w:val="12"/>
        </w:numPr>
        <w:rPr>
          <w:rFonts w:asciiTheme="minorHAnsi" w:hAnsiTheme="minorHAnsi" w:cstheme="minorHAnsi"/>
        </w:rPr>
      </w:pPr>
      <w:r>
        <w:rPr>
          <w:rFonts w:asciiTheme="minorHAnsi" w:hAnsiTheme="minorHAnsi" w:cstheme="minorHAnsi"/>
        </w:rPr>
        <w:t>Změny stavby požadované zhotovitelem (změna materiálů, technologií apod.) odsouhlasí zhotovitel písemně se zástupcem objednatele zápisem do stavebního deníku nebo zápisem z kontrolního dne. Teprve po tomto odsouhlasení vč. přípočtů a odpočtů mohou být požadované změny realizovány a zhotovitel má nárok na jejich úhradu. Pokud zhotovitel provede některé změny bez písemného souhlasu objednatele, má objednatel právo jejich úhradu odmítnout.</w:t>
      </w:r>
    </w:p>
    <w:p>
      <w:pPr>
        <w:jc w:val="both"/>
        <w:rPr>
          <w:rFonts w:ascii="Calibri" w:hAnsi="Calibr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pStyle w:val="mjodstavec"/>
        <w:numPr>
          <w:ilvl w:val="0"/>
          <w:numId w:val="12"/>
        </w:numPr>
        <w:rPr>
          <w:rFonts w:asciiTheme="minorHAnsi" w:hAnsiTheme="minorHAnsi" w:cstheme="minorHAnsi"/>
        </w:rPr>
      </w:pPr>
      <w:r>
        <w:rPr>
          <w:rFonts w:asciiTheme="minorHAnsi" w:hAnsiTheme="minorHAnsi" w:cstheme="minorHAnsi"/>
        </w:rPr>
        <w:t>Dílo je provedeno, je-li dokončeno a předáno.</w:t>
      </w:r>
    </w:p>
    <w:p>
      <w:pPr>
        <w:pStyle w:val="mjodstavec"/>
        <w:numPr>
          <w:ilvl w:val="0"/>
          <w:numId w:val="12"/>
        </w:numPr>
        <w:rPr>
          <w:rFonts w:asciiTheme="minorHAnsi" w:hAnsiTheme="minorHAnsi" w:cstheme="minorBidi"/>
        </w:rPr>
      </w:pPr>
      <w:r>
        <w:rPr>
          <w:rFonts w:asciiTheme="minorHAnsi" w:hAnsiTheme="minorHAnsi" w:cstheme="minorBidi"/>
        </w:rPr>
        <w:t xml:space="preserve">Místem </w:t>
      </w:r>
      <w:r>
        <w:rPr>
          <w:rFonts w:asciiTheme="minorHAnsi" w:hAnsiTheme="minorHAnsi" w:cstheme="minorHAnsi"/>
        </w:rPr>
        <w:t>provádění</w:t>
      </w:r>
      <w:r>
        <w:rPr>
          <w:rFonts w:asciiTheme="minorHAnsi" w:hAnsiTheme="minorHAnsi" w:cstheme="minorBidi"/>
        </w:rPr>
        <w:t xml:space="preserve"> Díla je „Libušínská 203/11, Libušínská 204/13, Haškova 2168/6 a Brodská 1876/27, Žďár nad Sázavou, a to v bytech definovaných v odst. 6 Smlouvy“, pokud není ve Smlouvě stanoveno jinak.</w:t>
      </w:r>
    </w:p>
    <w:p>
      <w:pPr>
        <w:pStyle w:val="mjodstavec"/>
        <w:numPr>
          <w:ilvl w:val="0"/>
          <w:numId w:val="12"/>
        </w:numPr>
        <w:rPr>
          <w:rFonts w:asciiTheme="minorHAnsi" w:hAnsiTheme="minorHAnsi" w:cstheme="minorHAnsi"/>
        </w:rPr>
      </w:pPr>
      <w:bookmarkStart w:id="3" w:name="_Ref397341966"/>
      <w:r>
        <w:rPr>
          <w:rFonts w:asciiTheme="minorHAnsi" w:hAnsiTheme="minorHAnsi" w:cstheme="minorHAnsi"/>
        </w:rPr>
        <w:t>Dílo bude prováděno v následujících termínech:</w:t>
      </w:r>
      <w:bookmarkEnd w:id="3"/>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b/>
          <w:bCs/>
          <w:sz w:val="22"/>
          <w:szCs w:val="22"/>
        </w:rPr>
      </w:pPr>
      <w:r>
        <w:rPr>
          <w:b/>
          <w:bCs/>
          <w:sz w:val="22"/>
          <w:szCs w:val="22"/>
        </w:rPr>
        <w:t>Termín pro dokončení a předání Díla:</w:t>
      </w:r>
    </w:p>
    <w:p>
      <w:pPr>
        <w:pStyle w:val="Odstavecseseznamem1"/>
        <w:numPr>
          <w:ilvl w:val="0"/>
          <w:numId w:val="43"/>
        </w:numPr>
        <w:tabs>
          <w:tab w:val="left" w:pos="284"/>
          <w:tab w:val="left" w:pos="6300"/>
        </w:tabs>
        <w:adjustRightInd w:val="0"/>
        <w:jc w:val="both"/>
        <w:textAlignment w:val="baseline"/>
        <w:outlineLvl w:val="0"/>
        <w:rPr>
          <w:sz w:val="22"/>
          <w:szCs w:val="22"/>
          <w:lang w:eastAsia="en-US" w:bidi="en-US"/>
        </w:rPr>
      </w:pPr>
      <w:r>
        <w:rPr>
          <w:sz w:val="22"/>
          <w:szCs w:val="22"/>
        </w:rPr>
        <w:t xml:space="preserve">pro Části </w:t>
      </w:r>
      <w:proofErr w:type="gramStart"/>
      <w:r>
        <w:rPr>
          <w:sz w:val="22"/>
          <w:szCs w:val="22"/>
        </w:rPr>
        <w:t>Díla - byty</w:t>
      </w:r>
      <w:proofErr w:type="gramEnd"/>
      <w:r>
        <w:rPr>
          <w:sz w:val="22"/>
          <w:szCs w:val="22"/>
        </w:rPr>
        <w:t xml:space="preserve"> 1 až 6 </w:t>
      </w:r>
      <w:r>
        <w:rPr>
          <w:color w:val="000000"/>
          <w:sz w:val="22"/>
          <w:szCs w:val="22"/>
        </w:rPr>
        <w:t xml:space="preserve">dle odst. </w:t>
      </w:r>
      <w:r>
        <w:rPr>
          <w:color w:val="000000"/>
          <w:sz w:val="22"/>
          <w:szCs w:val="22"/>
        </w:rPr>
        <w:fldChar w:fldCharType="begin"/>
      </w:r>
      <w:r>
        <w:rPr>
          <w:color w:val="000000"/>
          <w:sz w:val="22"/>
          <w:szCs w:val="22"/>
        </w:rPr>
        <w:instrText xml:space="preserve"> REF _Ref156910496 \r \h </w:instrText>
      </w:r>
      <w:r>
        <w:rPr>
          <w:color w:val="000000"/>
          <w:sz w:val="22"/>
          <w:szCs w:val="22"/>
        </w:rPr>
      </w:r>
      <w:r>
        <w:rPr>
          <w:color w:val="000000"/>
          <w:sz w:val="22"/>
          <w:szCs w:val="22"/>
        </w:rPr>
        <w:fldChar w:fldCharType="separate"/>
      </w:r>
      <w:r>
        <w:rPr>
          <w:color w:val="000000"/>
          <w:sz w:val="22"/>
          <w:szCs w:val="22"/>
        </w:rPr>
        <w:t>6</w:t>
      </w:r>
      <w:r>
        <w:rPr>
          <w:color w:val="000000"/>
          <w:sz w:val="22"/>
          <w:szCs w:val="22"/>
        </w:rPr>
        <w:fldChar w:fldCharType="end"/>
      </w:r>
      <w:r>
        <w:rPr>
          <w:color w:val="000000"/>
          <w:sz w:val="22"/>
          <w:szCs w:val="22"/>
        </w:rPr>
        <w:t xml:space="preserve"> této Smlouvy</w:t>
      </w:r>
      <w:r>
        <w:rPr>
          <w:sz w:val="22"/>
          <w:szCs w:val="22"/>
        </w:rPr>
        <w:t xml:space="preserve">: </w:t>
      </w:r>
      <w:r>
        <w:rPr>
          <w:sz w:val="22"/>
          <w:szCs w:val="22"/>
          <w:lang w:eastAsia="en-US" w:bidi="en-US"/>
        </w:rPr>
        <w:t xml:space="preserve">do 5 </w:t>
      </w:r>
      <w:sdt>
        <w:sdtPr>
          <w:rPr>
            <w:rFonts w:asciiTheme="minorHAnsi" w:hAnsiTheme="minorHAnsi" w:cstheme="minorBid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Bidi"/>
              <w:sz w:val="22"/>
              <w:szCs w:val="22"/>
            </w:rPr>
            <w:t>měsíců</w:t>
          </w:r>
        </w:sdtContent>
      </w:sdt>
      <w:r>
        <w:rPr>
          <w:sz w:val="22"/>
          <w:szCs w:val="22"/>
          <w:lang w:eastAsia="en-US" w:bidi="en-US"/>
        </w:rPr>
        <w:t xml:space="preserve"> ode dne převzetí staveniště Zhotovitelem,</w:t>
      </w:r>
    </w:p>
    <w:p>
      <w:pPr>
        <w:pStyle w:val="Odstavecseseznamem1"/>
        <w:numPr>
          <w:ilvl w:val="0"/>
          <w:numId w:val="43"/>
        </w:numPr>
        <w:tabs>
          <w:tab w:val="left" w:pos="284"/>
          <w:tab w:val="left" w:pos="6300"/>
        </w:tabs>
        <w:adjustRightInd w:val="0"/>
        <w:jc w:val="both"/>
        <w:textAlignment w:val="baseline"/>
        <w:outlineLvl w:val="0"/>
        <w:rPr>
          <w:sz w:val="22"/>
          <w:szCs w:val="22"/>
          <w:lang w:eastAsia="en-US" w:bidi="en-US"/>
        </w:rPr>
      </w:pPr>
      <w:r>
        <w:rPr>
          <w:sz w:val="22"/>
          <w:szCs w:val="22"/>
          <w:lang w:eastAsia="en-US" w:bidi="en-US"/>
        </w:rPr>
        <w:lastRenderedPageBreak/>
        <w:t>pro Část díla – byt 7</w:t>
      </w:r>
      <w:r>
        <w:rPr>
          <w:color w:val="000000"/>
          <w:sz w:val="22"/>
          <w:szCs w:val="22"/>
        </w:rPr>
        <w:t xml:space="preserve"> dle odst. </w:t>
      </w:r>
      <w:r>
        <w:rPr>
          <w:color w:val="000000"/>
          <w:sz w:val="22"/>
          <w:szCs w:val="22"/>
        </w:rPr>
        <w:fldChar w:fldCharType="begin"/>
      </w:r>
      <w:r>
        <w:rPr>
          <w:color w:val="000000"/>
          <w:sz w:val="22"/>
          <w:szCs w:val="22"/>
        </w:rPr>
        <w:instrText xml:space="preserve"> REF _Ref156910496 \r \h </w:instrText>
      </w:r>
      <w:r>
        <w:rPr>
          <w:color w:val="000000"/>
          <w:sz w:val="22"/>
          <w:szCs w:val="22"/>
        </w:rPr>
      </w:r>
      <w:r>
        <w:rPr>
          <w:color w:val="000000"/>
          <w:sz w:val="22"/>
          <w:szCs w:val="22"/>
        </w:rPr>
        <w:fldChar w:fldCharType="separate"/>
      </w:r>
      <w:r>
        <w:rPr>
          <w:color w:val="000000"/>
          <w:sz w:val="22"/>
          <w:szCs w:val="22"/>
        </w:rPr>
        <w:t>6</w:t>
      </w:r>
      <w:r>
        <w:rPr>
          <w:color w:val="000000"/>
          <w:sz w:val="22"/>
          <w:szCs w:val="22"/>
        </w:rPr>
        <w:fldChar w:fldCharType="end"/>
      </w:r>
      <w:r>
        <w:rPr>
          <w:color w:val="000000"/>
          <w:sz w:val="22"/>
          <w:szCs w:val="22"/>
        </w:rPr>
        <w:t xml:space="preserve"> této Smlouvy</w:t>
      </w:r>
      <w:r>
        <w:rPr>
          <w:sz w:val="22"/>
          <w:szCs w:val="22"/>
          <w:lang w:eastAsia="en-US" w:bidi="en-US"/>
        </w:rPr>
        <w:t xml:space="preserve">: do 3 </w:t>
      </w:r>
      <w:sdt>
        <w:sdtPr>
          <w:rPr>
            <w:rFonts w:asciiTheme="minorHAnsi" w:hAnsiTheme="minorHAnsi" w:cstheme="minorBidi"/>
            <w:sz w:val="22"/>
            <w:szCs w:val="22"/>
          </w:rPr>
          <w:id w:val="1684581245"/>
          <w:placeholder>
            <w:docPart w:val="0125D1BCA0EE48478CF18D079ECD0151"/>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Bid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pStyle w:val="mjodstavec"/>
        <w:numPr>
          <w:ilvl w:val="0"/>
          <w:numId w:val="12"/>
        </w:numPr>
        <w:rPr>
          <w:rFonts w:ascii="Calibri" w:hAnsi="Calibri"/>
        </w:rPr>
      </w:pPr>
      <w:bookmarkStart w:id="4" w:name="_Ref391889466"/>
      <w:r>
        <w:rPr>
          <w:rFonts w:asciiTheme="minorHAnsi" w:hAnsiTheme="minorHAnsi" w:cstheme="minorHAnsi"/>
        </w:rPr>
        <w:t>Zjistí</w:t>
      </w:r>
      <w:r>
        <w:rPr>
          <w:rFonts w:ascii="Calibri" w:hAnsi="Calibri"/>
        </w:rPr>
        <w:t xml:space="preserve">-li Zhotovitel v průběhu provádění Díla, že nelze dodržet termíny plnění stanovené v odstavci </w:t>
      </w:r>
      <w:r>
        <w:rPr>
          <w:rFonts w:ascii="Calibri" w:hAnsi="Calibri"/>
        </w:rPr>
        <w:fldChar w:fldCharType="begin"/>
      </w:r>
      <w:r>
        <w:rPr>
          <w:rFonts w:ascii="Calibri" w:hAnsi="Calibri"/>
        </w:rPr>
        <w:instrText xml:space="preserve"> REF _Ref397341966 \r \h  \* MERGEFORMAT </w:instrText>
      </w:r>
      <w:r>
        <w:rPr>
          <w:rFonts w:ascii="Calibri" w:hAnsi="Calibri"/>
        </w:rPr>
      </w:r>
      <w:r>
        <w:rPr>
          <w:rFonts w:ascii="Calibri" w:hAnsi="Calibri"/>
        </w:rPr>
        <w:fldChar w:fldCharType="separate"/>
      </w:r>
      <w:r>
        <w:rPr>
          <w:rFonts w:ascii="Calibri" w:hAnsi="Calibri"/>
        </w:rPr>
        <w:t>35</w:t>
      </w:r>
      <w:r>
        <w:rPr>
          <w:rFonts w:ascii="Calibri" w:hAnsi="Calibri"/>
        </w:rPr>
        <w:fldChar w:fldCharType="end"/>
      </w:r>
      <w:r>
        <w:rPr>
          <w:rFonts w:ascii="Calibri" w:hAnsi="Calibri"/>
        </w:rPr>
        <w:t xml:space="preserve"> Smlouvy, je povinen vždy na to Objednatele upozornit. Tím nejsou dotčeny další povinnosti Zhotovitele, zejména povinnost zaplatit smluvní pokutu za prodlení s předáním Díla a odpovědnost Zhotovitele za škodu.</w:t>
      </w:r>
      <w:bookmarkEnd w:id="4"/>
    </w:p>
    <w:p>
      <w:pPr>
        <w:pStyle w:val="mjodstavec"/>
        <w:numPr>
          <w:ilvl w:val="0"/>
          <w:numId w:val="12"/>
        </w:numPr>
        <w:rPr>
          <w:rFonts w:ascii="Calibri" w:hAnsi="Calibri"/>
        </w:rPr>
      </w:pPr>
      <w:r>
        <w:rPr>
          <w:rFonts w:asciiTheme="minorHAnsi" w:hAnsiTheme="minorHAnsi" w:cstheme="minorHAnsi"/>
        </w:rPr>
        <w:t>Termín</w:t>
      </w:r>
      <w:r>
        <w:rPr>
          <w:rFonts w:ascii="Calibri" w:hAnsi="Calibri"/>
        </w:rPr>
        <w:t xml:space="preserve"> pro dokončení a předání Díla může být přiměřeně prodloužen, pokud:</w:t>
      </w:r>
    </w:p>
    <w:p>
      <w:pPr>
        <w:pStyle w:val="3seznam"/>
        <w:numPr>
          <w:ilvl w:val="1"/>
          <w:numId w:val="12"/>
        </w:numPr>
        <w:rPr>
          <w:rFonts w:ascii="Calibri" w:hAnsi="Calibri"/>
        </w:rPr>
      </w:pPr>
      <w:r>
        <w:rPr>
          <w:rFonts w:asciiTheme="minorHAnsi" w:hAnsiTheme="minorHAnsi" w:cstheme="minorHAnsi"/>
        </w:rPr>
        <w:t>dojde</w:t>
      </w:r>
      <w:r>
        <w:rPr>
          <w:rFonts w:ascii="Calibri" w:hAnsi="Calibri"/>
        </w:rPr>
        <w:t xml:space="preserve"> k přerušení provádění Díla na základě písemného pokynu Objednatele,</w:t>
      </w:r>
    </w:p>
    <w:p>
      <w:pPr>
        <w:pStyle w:val="3seznam"/>
        <w:numPr>
          <w:ilvl w:val="1"/>
          <w:numId w:val="12"/>
        </w:numPr>
        <w:rPr>
          <w:rFonts w:ascii="Calibri" w:hAnsi="Calibri"/>
        </w:rPr>
      </w:pPr>
      <w:r>
        <w:rPr>
          <w:rFonts w:asciiTheme="minorHAnsi" w:hAnsiTheme="minorHAnsi" w:cstheme="minorHAnsi"/>
        </w:rPr>
        <w:t>dojde</w:t>
      </w:r>
      <w:r>
        <w:rPr>
          <w:rFonts w:ascii="Calibri" w:hAnsi="Calibri"/>
        </w:rPr>
        <w:t xml:space="preserve"> k přerušení provádění Díla z důvodu prodlení na straně Objednatele,</w:t>
      </w:r>
    </w:p>
    <w:p>
      <w:pPr>
        <w:pStyle w:val="3seznam"/>
        <w:numPr>
          <w:ilvl w:val="1"/>
          <w:numId w:val="12"/>
        </w:numPr>
        <w:rPr>
          <w:rFonts w:ascii="Calibri" w:hAnsi="Calibri"/>
        </w:rPr>
      </w:pPr>
      <w:r>
        <w:rPr>
          <w:rFonts w:asciiTheme="minorHAnsi" w:hAnsiTheme="minorHAnsi" w:cstheme="minorHAnsi"/>
        </w:rPr>
        <w:t>nastanou</w:t>
      </w:r>
      <w:r>
        <w:rPr>
          <w:rFonts w:ascii="Calibri" w:hAnsi="Calibri"/>
        </w:rPr>
        <w:t xml:space="preserve"> nepříznivé klimatické podmínky,</w:t>
      </w:r>
    </w:p>
    <w:p>
      <w:pPr>
        <w:pStyle w:val="3seznam"/>
        <w:numPr>
          <w:ilvl w:val="1"/>
          <w:numId w:val="12"/>
        </w:numPr>
        <w:rPr>
          <w:rFonts w:ascii="Calibri" w:hAnsi="Calibri"/>
        </w:rPr>
      </w:pPr>
      <w:r>
        <w:rPr>
          <w:rFonts w:asciiTheme="minorHAnsi" w:hAnsiTheme="minorHAnsi" w:cstheme="minorHAnsi"/>
        </w:rPr>
        <w:t>dojde</w:t>
      </w:r>
      <w:r>
        <w:rPr>
          <w:rFonts w:ascii="Calibri" w:hAnsi="Calibri"/>
        </w:rPr>
        <w:t xml:space="preserv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3seznam"/>
        <w:numPr>
          <w:ilvl w:val="1"/>
          <w:numId w:val="12"/>
        </w:numPr>
        <w:rPr>
          <w:rFonts w:ascii="Calibri" w:hAnsi="Calibri"/>
        </w:rPr>
      </w:pPr>
      <w:r>
        <w:rPr>
          <w:rFonts w:asciiTheme="minorHAnsi" w:hAnsiTheme="minorHAnsi" w:cstheme="minorHAnsi"/>
        </w:rPr>
        <w:t>dojde</w:t>
      </w:r>
      <w:r>
        <w:rPr>
          <w:rFonts w:ascii="Calibri" w:hAnsi="Calibri"/>
        </w:rPr>
        <w:t xml:space="preserve"> ke změně Díla.</w:t>
      </w: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pStyle w:val="mjodstavec"/>
        <w:numPr>
          <w:ilvl w:val="0"/>
          <w:numId w:val="12"/>
        </w:numPr>
        <w:rPr>
          <w:rFonts w:ascii="Calibri" w:hAnsi="Calibri"/>
        </w:rPr>
      </w:pPr>
      <w:r>
        <w:rPr>
          <w:rFonts w:ascii="Calibri" w:hAnsi="Calibri"/>
        </w:rPr>
        <w:t xml:space="preserve">Zhotovitel je povinen písemně informovat Objednatele o termínu předání Díla alespoň </w:t>
      </w:r>
      <w:sdt>
        <w:sdtPr>
          <w:rPr>
            <w:rFonts w:ascii="Calibri" w:hAnsi="Calibri"/>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Calibri" w:hAnsi="Calibri"/>
            </w:rPr>
            <w:t>5</w:t>
          </w:r>
        </w:sdtContent>
      </w:sdt>
      <w:r>
        <w:rPr>
          <w:rFonts w:ascii="Calibri" w:hAnsi="Calibri"/>
        </w:rPr>
        <w:t xml:space="preserve"> dní předem.</w:t>
      </w:r>
    </w:p>
    <w:p>
      <w:pPr>
        <w:pStyle w:val="mjodstavec"/>
        <w:numPr>
          <w:ilvl w:val="0"/>
          <w:numId w:val="12"/>
        </w:numPr>
        <w:rPr>
          <w:rFonts w:ascii="Calibri" w:hAnsi="Calibri"/>
        </w:rPr>
      </w:pPr>
      <w:bookmarkStart w:id="5" w:name="_Ref392063031"/>
      <w:r>
        <w:rPr>
          <w:rFonts w:ascii="Calibri" w:hAnsi="Calibri"/>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5"/>
    </w:p>
    <w:p>
      <w:pPr>
        <w:pStyle w:val="mjodstavec"/>
        <w:numPr>
          <w:ilvl w:val="0"/>
          <w:numId w:val="12"/>
        </w:numPr>
        <w:rPr>
          <w:rFonts w:ascii="Calibri" w:hAnsi="Calibri"/>
        </w:rPr>
      </w:pPr>
      <w:bookmarkStart w:id="6" w:name="_Ref391909747"/>
      <w:r>
        <w:rPr>
          <w:rFonts w:ascii="Calibri" w:hAnsi="Calibri"/>
        </w:rPr>
        <w:t>Objednatel Dílo:</w:t>
      </w:r>
    </w:p>
    <w:p>
      <w:pPr>
        <w:pStyle w:val="3seznam"/>
        <w:numPr>
          <w:ilvl w:val="1"/>
          <w:numId w:val="12"/>
        </w:numPr>
        <w:rPr>
          <w:rFonts w:ascii="Calibri" w:hAnsi="Calibri"/>
        </w:rPr>
      </w:pPr>
      <w:r>
        <w:rPr>
          <w:rFonts w:asciiTheme="minorHAnsi" w:hAnsiTheme="minorHAnsi" w:cstheme="minorHAnsi"/>
        </w:rPr>
        <w:t>převezme</w:t>
      </w:r>
      <w:r>
        <w:rPr>
          <w:rFonts w:ascii="Calibri" w:hAnsi="Calibri"/>
        </w:rPr>
        <w:t>, a to za předpokladu, že je Dílo dokončené, a odpovídá Smlouvě, je plně funkční, a je prosté vad a nedodělků s výjimkou ojedinělých drobných vad a nedodělků (dále jen „</w:t>
      </w:r>
      <w:r>
        <w:rPr>
          <w:rFonts w:ascii="Calibri" w:hAnsi="Calibri"/>
          <w:b/>
          <w:bCs/>
          <w:i/>
          <w:iCs/>
        </w:rPr>
        <w:t>Drobné vady</w:t>
      </w:r>
      <w:r>
        <w:rPr>
          <w:rFonts w:ascii="Calibri" w:hAnsi="Calibri"/>
        </w:rPr>
        <w:t>“),</w:t>
      </w:r>
      <w:bookmarkEnd w:id="6"/>
    </w:p>
    <w:p>
      <w:pPr>
        <w:pStyle w:val="3seznam"/>
        <w:numPr>
          <w:ilvl w:val="1"/>
          <w:numId w:val="12"/>
        </w:numPr>
        <w:rPr>
          <w:rFonts w:ascii="Calibri" w:hAnsi="Calibri"/>
        </w:rPr>
      </w:pPr>
      <w:r>
        <w:rPr>
          <w:rFonts w:asciiTheme="minorHAnsi" w:hAnsiTheme="minorHAnsi" w:cstheme="minorHAnsi"/>
        </w:rPr>
        <w:t>nepřevezme</w:t>
      </w:r>
      <w:r>
        <w:rPr>
          <w:rFonts w:ascii="Calibri" w:hAnsi="Calibri"/>
        </w:rPr>
        <w:t xml:space="preserve"> pro existenci vad a nedodělků, přičemž pro případ nepřevzetí Díla, které vykazuje vady, se na Dílo nahlíží jako na nepředané.</w:t>
      </w:r>
    </w:p>
    <w:p>
      <w:pPr>
        <w:pStyle w:val="mjodstavec"/>
        <w:numPr>
          <w:ilvl w:val="0"/>
          <w:numId w:val="12"/>
        </w:numPr>
        <w:rPr>
          <w:rFonts w:ascii="Calibri" w:hAnsi="Calibri"/>
        </w:rPr>
      </w:pPr>
      <w:r>
        <w:rPr>
          <w:rFonts w:ascii="Calibri" w:hAnsi="Calibri"/>
        </w:rPr>
        <w:t>O předání a převzetí Díla, či Části Díla, bude Smluvními stranami sepsán protokol (dále jen „</w:t>
      </w:r>
      <w:r>
        <w:rPr>
          <w:rFonts w:ascii="Calibri" w:hAnsi="Calibri"/>
          <w:b/>
          <w:bCs/>
        </w:rPr>
        <w:t>Předávací protokol</w:t>
      </w:r>
      <w:r>
        <w:rPr>
          <w:rFonts w:ascii="Calibri" w:hAnsi="Calibri"/>
        </w:rPr>
        <w:t>“).</w:t>
      </w:r>
    </w:p>
    <w:p>
      <w:pPr>
        <w:pStyle w:val="mjodstavec"/>
        <w:numPr>
          <w:ilvl w:val="0"/>
          <w:numId w:val="0"/>
        </w:numPr>
        <w:ind w:left="360"/>
        <w:rPr>
          <w:rFonts w:ascii="Calibri" w:hAnsi="Calibri"/>
        </w:rPr>
      </w:pPr>
    </w:p>
    <w:p>
      <w:pPr>
        <w:pStyle w:val="mjodstavec"/>
        <w:numPr>
          <w:ilvl w:val="0"/>
          <w:numId w:val="12"/>
        </w:numPr>
        <w:rPr>
          <w:rFonts w:ascii="Calibri" w:hAnsi="Calibri"/>
        </w:rPr>
      </w:pPr>
      <w:r>
        <w:rPr>
          <w:rFonts w:ascii="Calibri" w:hAnsi="Calibri"/>
        </w:rPr>
        <w:t xml:space="preserve">V případě převzetí Díla Objednatelem bude Předávací protokol obsahovat: </w:t>
      </w:r>
    </w:p>
    <w:p>
      <w:pPr>
        <w:pStyle w:val="3seznam"/>
        <w:numPr>
          <w:ilvl w:val="1"/>
          <w:numId w:val="12"/>
        </w:numPr>
        <w:rPr>
          <w:rFonts w:ascii="Calibri" w:hAnsi="Calibri"/>
        </w:rPr>
      </w:pPr>
      <w:r>
        <w:rPr>
          <w:rFonts w:asciiTheme="minorHAnsi" w:hAnsiTheme="minorHAnsi" w:cstheme="minorHAnsi"/>
        </w:rPr>
        <w:t>identifikační</w:t>
      </w:r>
      <w:r>
        <w:rPr>
          <w:rFonts w:ascii="Calibri" w:hAnsi="Calibri"/>
        </w:rPr>
        <w:t xml:space="preserve"> údaje Smluvních stran, </w:t>
      </w:r>
    </w:p>
    <w:p>
      <w:pPr>
        <w:pStyle w:val="3seznam"/>
        <w:numPr>
          <w:ilvl w:val="1"/>
          <w:numId w:val="12"/>
        </w:numPr>
        <w:rPr>
          <w:rFonts w:ascii="Calibri" w:hAnsi="Calibri"/>
        </w:rPr>
      </w:pPr>
      <w:r>
        <w:rPr>
          <w:rFonts w:asciiTheme="minorHAnsi" w:hAnsiTheme="minorHAnsi" w:cstheme="minorHAnsi"/>
        </w:rPr>
        <w:t>identifikaci</w:t>
      </w:r>
      <w:r>
        <w:rPr>
          <w:rFonts w:ascii="Calibri" w:hAnsi="Calibri"/>
        </w:rPr>
        <w:t xml:space="preserve"> Díla, </w:t>
      </w:r>
    </w:p>
    <w:p>
      <w:pPr>
        <w:pStyle w:val="3seznam"/>
        <w:numPr>
          <w:ilvl w:val="1"/>
          <w:numId w:val="12"/>
        </w:numPr>
        <w:rPr>
          <w:rFonts w:ascii="Calibri" w:hAnsi="Calibri"/>
        </w:rPr>
      </w:pPr>
      <w:r>
        <w:rPr>
          <w:rFonts w:asciiTheme="minorHAnsi" w:hAnsiTheme="minorHAnsi" w:cstheme="minorHAnsi"/>
        </w:rPr>
        <w:lastRenderedPageBreak/>
        <w:t>prohlášení</w:t>
      </w:r>
      <w:r>
        <w:rPr>
          <w:rFonts w:ascii="Calibri" w:hAnsi="Calibri"/>
        </w:rPr>
        <w:t xml:space="preserve"> Objednatele, zda Dílo přejímá nebo nepřejímá, </w:t>
      </w:r>
    </w:p>
    <w:p>
      <w:pPr>
        <w:pStyle w:val="3seznam"/>
        <w:numPr>
          <w:ilvl w:val="1"/>
          <w:numId w:val="12"/>
        </w:numPr>
        <w:rPr>
          <w:rFonts w:ascii="Calibri" w:hAnsi="Calibri"/>
        </w:rPr>
      </w:pPr>
      <w:r>
        <w:rPr>
          <w:rFonts w:asciiTheme="minorHAnsi" w:hAnsiTheme="minorHAnsi" w:cstheme="minorHAnsi"/>
        </w:rPr>
        <w:t>zhodnocení</w:t>
      </w:r>
      <w:r>
        <w:rPr>
          <w:rFonts w:ascii="Calibri" w:hAnsi="Calibri"/>
        </w:rPr>
        <w:t xml:space="preserve"> stavebních prací, dodávek a služeb, </w:t>
      </w:r>
    </w:p>
    <w:p>
      <w:pPr>
        <w:pStyle w:val="3seznam"/>
        <w:numPr>
          <w:ilvl w:val="1"/>
          <w:numId w:val="12"/>
        </w:numPr>
        <w:rPr>
          <w:rFonts w:ascii="Calibri" w:hAnsi="Calibri"/>
        </w:rPr>
      </w:pPr>
      <w:r>
        <w:rPr>
          <w:rFonts w:ascii="Calibri" w:hAnsi="Calibri"/>
        </w:rPr>
        <w:t xml:space="preserve">soupis zjištěných Drobných vad, dohodnuté lhůty k jejich odstranění nebo jiná opatření  </w:t>
      </w:r>
      <w:proofErr w:type="gramStart"/>
      <w:r>
        <w:rPr>
          <w:rFonts w:ascii="Calibri" w:hAnsi="Calibri"/>
        </w:rPr>
        <w:t xml:space="preserve">   (</w:t>
      </w:r>
      <w:proofErr w:type="gramEnd"/>
      <w:r>
        <w:rPr>
          <w:rFonts w:ascii="Calibri" w:hAnsi="Calibri"/>
        </w:rPr>
        <w:t xml:space="preserve">byla-li dohodnuta), </w:t>
      </w:r>
    </w:p>
    <w:p>
      <w:pPr>
        <w:pStyle w:val="3seznam"/>
        <w:numPr>
          <w:ilvl w:val="1"/>
          <w:numId w:val="12"/>
        </w:numPr>
        <w:rPr>
          <w:rFonts w:ascii="Calibri" w:hAnsi="Calibri"/>
        </w:rPr>
      </w:pPr>
      <w:r>
        <w:rPr>
          <w:rFonts w:asciiTheme="minorHAnsi" w:hAnsiTheme="minorHAnsi" w:cstheme="minorHAnsi"/>
        </w:rPr>
        <w:t>soupis</w:t>
      </w:r>
      <w:r>
        <w:rPr>
          <w:rFonts w:ascii="Calibri" w:hAnsi="Calibri"/>
        </w:rPr>
        <w:t xml:space="preserve"> dokladů předaných Zhotovitelem Objednateli při předání Díla a datované podpisy Smluvních stran.</w:t>
      </w:r>
    </w:p>
    <w:p/>
    <w:p>
      <w:pPr>
        <w:pStyle w:val="mjodstavec"/>
        <w:numPr>
          <w:ilvl w:val="0"/>
          <w:numId w:val="12"/>
        </w:numPr>
        <w:rPr>
          <w:rFonts w:ascii="Calibri" w:hAnsi="Calibri"/>
        </w:rPr>
      </w:pPr>
      <w:bookmarkStart w:id="7" w:name="_Ref391906151"/>
      <w:r>
        <w:rPr>
          <w:rFonts w:ascii="Calibri" w:hAnsi="Calibri"/>
        </w:rPr>
        <w:t>V případě, že Objednatel Dílo nepřevezme, bude Předávací protokol kromě výše uvedeného obsahovat také:</w:t>
      </w:r>
    </w:p>
    <w:p>
      <w:pPr>
        <w:pStyle w:val="3seznam"/>
        <w:numPr>
          <w:ilvl w:val="1"/>
          <w:numId w:val="12"/>
        </w:numPr>
        <w:rPr>
          <w:rFonts w:ascii="Calibri" w:hAnsi="Calibri"/>
        </w:rPr>
      </w:pPr>
      <w:r>
        <w:rPr>
          <w:rFonts w:ascii="Calibri" w:hAnsi="Calibri"/>
        </w:rPr>
        <w:t xml:space="preserve">důvody pro nepřevzetí Díla, tj. soupis zjištěných vad a nedodělků a stanoviska obou </w:t>
      </w:r>
      <w:r>
        <w:tab/>
      </w:r>
      <w:r>
        <w:tab/>
      </w:r>
      <w:r>
        <w:rPr>
          <w:rFonts w:ascii="Calibri" w:hAnsi="Calibri"/>
        </w:rPr>
        <w:t>smluvních stran,</w:t>
      </w:r>
    </w:p>
    <w:p>
      <w:pPr>
        <w:pStyle w:val="3seznam"/>
        <w:numPr>
          <w:ilvl w:val="1"/>
          <w:numId w:val="12"/>
        </w:numPr>
        <w:rPr>
          <w:rFonts w:ascii="Calibri" w:hAnsi="Calibri"/>
        </w:rPr>
      </w:pPr>
      <w:r>
        <w:rPr>
          <w:rFonts w:ascii="Calibri" w:hAnsi="Calibri"/>
        </w:rPr>
        <w:t>lhůty k </w:t>
      </w:r>
      <w:r>
        <w:rPr>
          <w:rFonts w:asciiTheme="minorHAnsi" w:hAnsiTheme="minorHAnsi" w:cstheme="minorHAnsi"/>
        </w:rPr>
        <w:t>odstranění</w:t>
      </w:r>
      <w:r>
        <w:rPr>
          <w:rFonts w:ascii="Calibri" w:hAnsi="Calibri"/>
        </w:rPr>
        <w:t xml:space="preserve"> vad nebo nedodělků a náhradní termín předání a převzetí Díla.</w:t>
      </w:r>
      <w:bookmarkEnd w:id="7"/>
      <w:r>
        <w:rPr>
          <w:rFonts w:ascii="Calibri" w:hAnsi="Calibri"/>
        </w:rPr>
        <w:t xml:space="preserve"> </w:t>
      </w:r>
    </w:p>
    <w:p>
      <w:pPr>
        <w:pStyle w:val="Odstavecseseznamem"/>
        <w:ind w:left="567"/>
        <w:jc w:val="both"/>
        <w:rPr>
          <w:rFonts w:ascii="Calibri" w:hAnsi="Calibri"/>
          <w:sz w:val="22"/>
          <w:szCs w:val="22"/>
        </w:rPr>
      </w:pPr>
    </w:p>
    <w:p>
      <w:pPr>
        <w:pStyle w:val="mjodstavec"/>
        <w:numPr>
          <w:ilvl w:val="0"/>
          <w:numId w:val="12"/>
        </w:numPr>
        <w:rPr>
          <w:rFonts w:ascii="Calibri" w:hAnsi="Calibri"/>
        </w:rPr>
      </w:pPr>
      <w:r>
        <w:rPr>
          <w:rFonts w:ascii="Calibri" w:hAnsi="Calibri"/>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Zhotovitel je povinen uhradit Objednateli veškeré jím účelně vynaložené náklady v souvislosti s odstraněním Drobných vad a vad a nedodělků, zejména v podobě vynaložení nákladů na jejich odstranění.</w:t>
      </w:r>
    </w:p>
    <w:p>
      <w:pPr>
        <w:pStyle w:val="mjodstavec"/>
        <w:numPr>
          <w:ilvl w:val="0"/>
          <w:numId w:val="12"/>
        </w:numPr>
        <w:rPr>
          <w:rFonts w:ascii="Calibri" w:hAnsi="Calibri"/>
        </w:rPr>
      </w:pPr>
      <w:r>
        <w:rPr>
          <w:rFonts w:ascii="Calibri" w:hAnsi="Calibri"/>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18"/>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35</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18"/>
        </w:numPr>
        <w:jc w:val="both"/>
        <w:rPr>
          <w:rFonts w:ascii="Calibri" w:hAnsi="Calibri"/>
          <w:sz w:val="22"/>
          <w:szCs w:val="22"/>
          <w:u w:val="single"/>
        </w:rPr>
      </w:pPr>
      <w:bookmarkStart w:id="8" w:name="_Toc305061156"/>
      <w:bookmarkStart w:id="9"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8"/>
      <w:bookmarkEnd w:id="9"/>
    </w:p>
    <w:p>
      <w:pPr>
        <w:pStyle w:val="Odstavecseseznamem"/>
        <w:jc w:val="both"/>
        <w:rPr>
          <w:rFonts w:ascii="Calibri" w:hAnsi="Calibri"/>
          <w:sz w:val="22"/>
          <w:szCs w:val="22"/>
        </w:rPr>
      </w:pPr>
    </w:p>
    <w:p>
      <w:pPr>
        <w:numPr>
          <w:ilvl w:val="0"/>
          <w:numId w:val="18"/>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18"/>
        </w:numPr>
        <w:tabs>
          <w:tab w:val="left" w:pos="567"/>
        </w:tabs>
        <w:jc w:val="both"/>
        <w:rPr>
          <w:rFonts w:ascii="Calibri" w:hAnsi="Calibri"/>
          <w:sz w:val="22"/>
          <w:szCs w:val="22"/>
        </w:rPr>
      </w:pPr>
      <w:bookmarkStart w:id="10" w:name="_Toc305060862"/>
      <w:bookmarkStart w:id="11"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0"/>
      <w:bookmarkEnd w:id="11"/>
    </w:p>
    <w:p>
      <w:pPr>
        <w:pStyle w:val="Odstavecseseznamem"/>
        <w:jc w:val="both"/>
        <w:rPr>
          <w:rFonts w:ascii="Calibri" w:hAnsi="Calibri"/>
          <w:sz w:val="22"/>
          <w:szCs w:val="22"/>
        </w:rPr>
      </w:pPr>
    </w:p>
    <w:p>
      <w:pPr>
        <w:pStyle w:val="Odstavecseseznamem"/>
        <w:numPr>
          <w:ilvl w:val="0"/>
          <w:numId w:val="18"/>
        </w:numPr>
        <w:tabs>
          <w:tab w:val="left" w:pos="567"/>
        </w:tabs>
        <w:jc w:val="both"/>
        <w:rPr>
          <w:rFonts w:ascii="Calibri" w:hAnsi="Calibri"/>
          <w:sz w:val="22"/>
          <w:szCs w:val="22"/>
        </w:rPr>
      </w:pPr>
      <w:r>
        <w:rPr>
          <w:rFonts w:ascii="Calibri" w:hAnsi="Calibri"/>
          <w:sz w:val="22"/>
          <w:szCs w:val="22"/>
        </w:rPr>
        <w:lastRenderedPageBreak/>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18"/>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18"/>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12" w:name="_Toc305061165"/>
      <w:bookmarkStart w:id="13" w:name="_Toc305060671"/>
    </w:p>
    <w:p>
      <w:pPr>
        <w:pStyle w:val="Odstavecseseznamem"/>
        <w:numPr>
          <w:ilvl w:val="0"/>
          <w:numId w:val="18"/>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2"/>
      <w:bookmarkEnd w:id="13"/>
    </w:p>
    <w:p>
      <w:pPr>
        <w:pStyle w:val="Odstavecseseznamem"/>
        <w:jc w:val="both"/>
        <w:rPr>
          <w:rFonts w:ascii="Calibri" w:hAnsi="Calibri"/>
          <w:sz w:val="22"/>
          <w:szCs w:val="22"/>
        </w:rPr>
      </w:pPr>
    </w:p>
    <w:p>
      <w:pPr>
        <w:pStyle w:val="Odstavecseseznamem"/>
        <w:numPr>
          <w:ilvl w:val="0"/>
          <w:numId w:val="18"/>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18"/>
        </w:numPr>
        <w:tabs>
          <w:tab w:val="left" w:pos="567"/>
        </w:tabs>
        <w:jc w:val="both"/>
        <w:rPr>
          <w:rFonts w:ascii="Calibri" w:hAnsi="Calibri"/>
          <w:sz w:val="22"/>
          <w:szCs w:val="22"/>
        </w:rPr>
      </w:pPr>
      <w:bookmarkStart w:id="14"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5" w:name="_Toc305061176"/>
      <w:bookmarkStart w:id="16"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4"/>
      <w:bookmarkEnd w:id="15"/>
      <w:bookmarkEnd w:id="16"/>
    </w:p>
    <w:p>
      <w:pPr>
        <w:jc w:val="both"/>
        <w:rPr>
          <w:rFonts w:ascii="Calibri" w:hAnsi="Calibri"/>
          <w:sz w:val="22"/>
          <w:szCs w:val="22"/>
        </w:rPr>
      </w:pPr>
    </w:p>
    <w:p>
      <w:pPr>
        <w:pStyle w:val="Nadpis1"/>
        <w:rPr>
          <w:szCs w:val="22"/>
        </w:rPr>
      </w:pPr>
      <w:bookmarkStart w:id="17" w:name="_Toc383117513"/>
      <w:r>
        <w:rPr>
          <w:szCs w:val="22"/>
        </w:rPr>
        <w:t>CENA</w:t>
      </w:r>
      <w:bookmarkEnd w:id="17"/>
      <w:r>
        <w:rPr>
          <w:szCs w:val="22"/>
        </w:rPr>
        <w:t xml:space="preserve"> DÍLA</w:t>
      </w:r>
    </w:p>
    <w:p>
      <w:pPr>
        <w:ind w:left="567"/>
        <w:rPr>
          <w:rFonts w:ascii="Calibri" w:hAnsi="Calibri"/>
          <w:sz w:val="22"/>
          <w:szCs w:val="22"/>
          <w:lang w:eastAsia="ar-SA"/>
        </w:rPr>
      </w:pPr>
    </w:p>
    <w:p>
      <w:pPr>
        <w:numPr>
          <w:ilvl w:val="0"/>
          <w:numId w:val="18"/>
        </w:numPr>
        <w:jc w:val="both"/>
        <w:rPr>
          <w:rFonts w:ascii="Calibri" w:hAnsi="Calibri"/>
          <w:sz w:val="22"/>
          <w:szCs w:val="22"/>
        </w:rPr>
      </w:pPr>
      <w:r>
        <w:rPr>
          <w:rFonts w:ascii="Calibri" w:hAnsi="Calibri"/>
          <w:sz w:val="22"/>
          <w:szCs w:val="22"/>
        </w:rPr>
        <w:t>Cena Díla (dále jen „</w:t>
      </w:r>
      <w:r>
        <w:rPr>
          <w:rFonts w:ascii="Calibri" w:hAnsi="Calibri"/>
          <w:b/>
          <w:bCs/>
          <w:i/>
          <w:iCs/>
          <w:sz w:val="22"/>
          <w:szCs w:val="22"/>
        </w:rPr>
        <w:t>Cena Díla</w:t>
      </w:r>
      <w:r>
        <w:rPr>
          <w:rFonts w:ascii="Calibri" w:hAnsi="Calibri"/>
          <w:sz w:val="22"/>
          <w:szCs w:val="22"/>
        </w:rPr>
        <w:t xml:space="preserve">“) je stanovena na základě nabídky Zhotovitele podané v Řízení veřejné zakázky a činí celkem </w:t>
      </w:r>
      <w:r>
        <w:rPr>
          <w:rFonts w:asciiTheme="minorHAnsi" w:hAnsiTheme="minorHAnsi" w:cstheme="minorBidi"/>
          <w:sz w:val="22"/>
          <w:szCs w:val="22"/>
          <w:highlight w:val="yellow"/>
          <w:lang w:bidi="en-US"/>
        </w:rPr>
        <w:fldChar w:fldCharType="begin"/>
      </w:r>
      <w:r>
        <w:rPr>
          <w:rFonts w:asciiTheme="minorHAnsi" w:hAnsiTheme="minorHAnsi" w:cstheme="minorBidi"/>
          <w:sz w:val="22"/>
          <w:szCs w:val="22"/>
          <w:highlight w:val="yellow"/>
          <w:lang w:bidi="en-US"/>
        </w:rPr>
        <w:instrText xml:space="preserve"> MACROBUTTON  AcceptAllConflictsInDoc "[doplní účastník]" </w:instrText>
      </w:r>
      <w:r>
        <w:rPr>
          <w:rFonts w:asciiTheme="minorHAnsi" w:hAnsiTheme="minorHAnsi" w:cstheme="minorBidi"/>
          <w:sz w:val="22"/>
          <w:szCs w:val="22"/>
          <w:highlight w:val="yellow"/>
          <w:lang w:bidi="en-US"/>
        </w:rPr>
        <w:fldChar w:fldCharType="end"/>
      </w:r>
      <w:r>
        <w:rPr>
          <w:rFonts w:ascii="Calibri" w:hAnsi="Calibri"/>
          <w:b/>
          <w:bCs/>
          <w:i/>
          <w:iCs/>
          <w:sz w:val="22"/>
          <w:szCs w:val="22"/>
        </w:rPr>
        <w:t xml:space="preserve">,- </w:t>
      </w:r>
      <w:r>
        <w:rPr>
          <w:rFonts w:ascii="Calibri" w:hAnsi="Calibri"/>
          <w:b/>
          <w:bCs/>
          <w:sz w:val="22"/>
          <w:szCs w:val="22"/>
        </w:rPr>
        <w:t>Kč bez DPH</w:t>
      </w:r>
      <w:r>
        <w:rPr>
          <w:rFonts w:ascii="Calibri" w:hAnsi="Calibri"/>
          <w:sz w:val="22"/>
          <w:szCs w:val="22"/>
        </w:rPr>
        <w:t xml:space="preserve">. Tato Cena Díla je podrobně rozčleněna v položkových rozpočtech (ve Zhotovitelem oceněných výkazech výměr), které jsou přílohou č. 2.a) – 2.g) Smlouvy (dále jen </w:t>
      </w:r>
      <w:r>
        <w:rPr>
          <w:rFonts w:ascii="Calibri" w:hAnsi="Calibri"/>
          <w:i/>
          <w:iCs/>
          <w:sz w:val="22"/>
          <w:szCs w:val="22"/>
        </w:rPr>
        <w:t>„</w:t>
      </w:r>
      <w:r>
        <w:rPr>
          <w:rFonts w:ascii="Calibri" w:hAnsi="Calibri"/>
          <w:b/>
          <w:bCs/>
          <w:i/>
          <w:iCs/>
          <w:sz w:val="22"/>
          <w:szCs w:val="22"/>
        </w:rPr>
        <w:t>Položkový rozpočet</w:t>
      </w:r>
      <w:r>
        <w:rPr>
          <w:rFonts w:ascii="Calibri" w:hAnsi="Calibri"/>
          <w:i/>
          <w:iCs/>
          <w:sz w:val="22"/>
          <w:szCs w:val="22"/>
        </w:rPr>
        <w:t>“</w:t>
      </w:r>
      <w:r>
        <w:rPr>
          <w:rFonts w:ascii="Calibri" w:hAnsi="Calibri"/>
          <w:sz w:val="22"/>
          <w:szCs w:val="22"/>
        </w:rPr>
        <w:t>).</w:t>
      </w:r>
    </w:p>
    <w:p>
      <w:pPr>
        <w:pStyle w:val="3seznam"/>
        <w:numPr>
          <w:ilvl w:val="0"/>
          <w:numId w:val="18"/>
        </w:numPr>
        <w:rPr>
          <w:rFonts w:asciiTheme="minorHAnsi" w:hAnsiTheme="minorHAnsi" w:cstheme="minorBidi"/>
        </w:rPr>
      </w:pPr>
      <w:r>
        <w:rPr>
          <w:rFonts w:ascii="Calibri" w:hAnsi="Calibri"/>
        </w:rPr>
        <w:t>Přehled dílčích cen Díla (Části díla):</w:t>
      </w:r>
    </w:p>
    <w:p>
      <w:pPr>
        <w:pStyle w:val="3seznam"/>
        <w:numPr>
          <w:ilvl w:val="1"/>
          <w:numId w:val="18"/>
        </w:numPr>
        <w:ind w:left="851" w:hanging="491"/>
        <w:rPr>
          <w:rFonts w:asciiTheme="minorHAnsi" w:hAnsiTheme="minorHAnsi" w:cstheme="minorBidi"/>
        </w:rPr>
      </w:pPr>
      <w:r>
        <w:rPr>
          <w:rFonts w:asciiTheme="minorHAnsi" w:hAnsiTheme="minorHAnsi" w:cstheme="minorBidi"/>
        </w:rPr>
        <w:t xml:space="preserve">byt 1: </w:t>
      </w:r>
      <w:r>
        <w:rPr>
          <w:rFonts w:asciiTheme="minorHAnsi" w:hAnsiTheme="minorHAnsi" w:cstheme="minorBidi"/>
          <w:highlight w:val="yellow"/>
          <w:lang w:bidi="en-US"/>
        </w:rPr>
        <w:fldChar w:fldCharType="begin"/>
      </w:r>
      <w:r>
        <w:rPr>
          <w:rFonts w:asciiTheme="minorHAnsi" w:hAnsiTheme="minorHAnsi" w:cstheme="minorBidi"/>
          <w:highlight w:val="yellow"/>
          <w:lang w:bidi="en-US"/>
        </w:rPr>
        <w:instrText xml:space="preserve"> MACROBUTTON  AcceptAllConflictsInDoc "[doplní účastník]" </w:instrText>
      </w:r>
      <w:r>
        <w:rPr>
          <w:rFonts w:asciiTheme="minorHAnsi" w:hAnsiTheme="minorHAnsi" w:cstheme="minorBidi"/>
          <w:highlight w:val="yellow"/>
          <w:lang w:bidi="en-US"/>
        </w:rPr>
        <w:fldChar w:fldCharType="end"/>
      </w:r>
      <w:r>
        <w:rPr>
          <w:rFonts w:asciiTheme="minorHAnsi" w:hAnsiTheme="minorHAnsi" w:cstheme="minorBidi"/>
        </w:rPr>
        <w:t xml:space="preserve"> Kč bez DPH</w:t>
      </w:r>
    </w:p>
    <w:p>
      <w:pPr>
        <w:pStyle w:val="3seznam"/>
        <w:numPr>
          <w:ilvl w:val="1"/>
          <w:numId w:val="18"/>
        </w:numPr>
        <w:ind w:left="851" w:hanging="491"/>
        <w:rPr>
          <w:rFonts w:asciiTheme="minorHAnsi" w:hAnsiTheme="minorHAnsi" w:cstheme="minorHAnsi"/>
        </w:rPr>
      </w:pPr>
      <w:r>
        <w:rPr>
          <w:rFonts w:asciiTheme="minorHAnsi" w:hAnsiTheme="minorHAnsi" w:cstheme="minorHAnsi"/>
        </w:rPr>
        <w:t xml:space="preserve">byt 2: </w:t>
      </w:r>
      <w:r>
        <w:rPr>
          <w:rFonts w:asciiTheme="minorHAnsi" w:hAnsiTheme="minorHAnsi" w:cstheme="minorBidi"/>
          <w:highlight w:val="yellow"/>
          <w:lang w:bidi="en-US"/>
        </w:rPr>
        <w:fldChar w:fldCharType="begin"/>
      </w:r>
      <w:r>
        <w:rPr>
          <w:rFonts w:asciiTheme="minorHAnsi" w:hAnsiTheme="minorHAnsi" w:cstheme="minorBidi"/>
          <w:highlight w:val="yellow"/>
          <w:lang w:bidi="en-US"/>
        </w:rPr>
        <w:instrText xml:space="preserve"> MACROBUTTON  AcceptAllConflictsInDoc "[doplní účastník]" </w:instrText>
      </w:r>
      <w:r>
        <w:rPr>
          <w:rFonts w:asciiTheme="minorHAnsi" w:hAnsiTheme="minorHAnsi" w:cstheme="minorBidi"/>
          <w:highlight w:val="yellow"/>
          <w:lang w:bidi="en-US"/>
        </w:rPr>
        <w:fldChar w:fldCharType="end"/>
      </w:r>
      <w:r>
        <w:rPr>
          <w:rFonts w:asciiTheme="minorHAnsi" w:hAnsiTheme="minorHAnsi" w:cstheme="minorHAnsi"/>
        </w:rPr>
        <w:t xml:space="preserve"> Kč bez DPH</w:t>
      </w:r>
    </w:p>
    <w:p>
      <w:pPr>
        <w:pStyle w:val="3seznam"/>
        <w:numPr>
          <w:ilvl w:val="1"/>
          <w:numId w:val="18"/>
        </w:numPr>
        <w:ind w:left="851" w:hanging="491"/>
        <w:rPr>
          <w:rFonts w:asciiTheme="minorHAnsi" w:hAnsiTheme="minorHAnsi" w:cstheme="minorHAnsi"/>
        </w:rPr>
      </w:pPr>
      <w:r>
        <w:rPr>
          <w:rFonts w:asciiTheme="minorHAnsi" w:hAnsiTheme="minorHAnsi" w:cstheme="minorHAnsi"/>
        </w:rPr>
        <w:t xml:space="preserve">byt 3: </w:t>
      </w:r>
      <w:r>
        <w:rPr>
          <w:rFonts w:asciiTheme="minorHAnsi" w:hAnsiTheme="minorHAnsi" w:cstheme="minorBidi"/>
          <w:highlight w:val="yellow"/>
          <w:lang w:bidi="en-US"/>
        </w:rPr>
        <w:fldChar w:fldCharType="begin"/>
      </w:r>
      <w:r>
        <w:rPr>
          <w:rFonts w:asciiTheme="minorHAnsi" w:hAnsiTheme="minorHAnsi" w:cstheme="minorBidi"/>
          <w:highlight w:val="yellow"/>
          <w:lang w:bidi="en-US"/>
        </w:rPr>
        <w:instrText xml:space="preserve"> MACROBUTTON  AcceptAllConflictsInDoc "[doplní účastník]" </w:instrText>
      </w:r>
      <w:r>
        <w:rPr>
          <w:rFonts w:asciiTheme="minorHAnsi" w:hAnsiTheme="minorHAnsi" w:cstheme="minorBidi"/>
          <w:highlight w:val="yellow"/>
          <w:lang w:bidi="en-US"/>
        </w:rPr>
        <w:fldChar w:fldCharType="end"/>
      </w:r>
      <w:r>
        <w:rPr>
          <w:rFonts w:asciiTheme="minorHAnsi" w:hAnsiTheme="minorHAnsi" w:cstheme="minorHAnsi"/>
        </w:rPr>
        <w:t>Kč bez DPH</w:t>
      </w:r>
    </w:p>
    <w:p>
      <w:pPr>
        <w:pStyle w:val="3seznam"/>
        <w:numPr>
          <w:ilvl w:val="1"/>
          <w:numId w:val="18"/>
        </w:numPr>
        <w:ind w:left="851" w:hanging="491"/>
        <w:rPr>
          <w:rFonts w:asciiTheme="minorHAnsi" w:hAnsiTheme="minorHAnsi" w:cstheme="minorHAnsi"/>
        </w:rPr>
      </w:pPr>
      <w:r>
        <w:rPr>
          <w:rFonts w:asciiTheme="minorHAnsi" w:hAnsiTheme="minorHAnsi" w:cstheme="minorHAnsi"/>
        </w:rPr>
        <w:t xml:space="preserve">byt 4: </w:t>
      </w:r>
      <w:r>
        <w:rPr>
          <w:rFonts w:asciiTheme="minorHAnsi" w:hAnsiTheme="minorHAnsi" w:cstheme="minorBidi"/>
          <w:highlight w:val="yellow"/>
          <w:lang w:bidi="en-US"/>
        </w:rPr>
        <w:fldChar w:fldCharType="begin"/>
      </w:r>
      <w:r>
        <w:rPr>
          <w:rFonts w:asciiTheme="minorHAnsi" w:hAnsiTheme="minorHAnsi" w:cstheme="minorBidi"/>
          <w:highlight w:val="yellow"/>
          <w:lang w:bidi="en-US"/>
        </w:rPr>
        <w:instrText xml:space="preserve"> MACROBUTTON  AcceptAllConflictsInDoc "[doplní účastník]" </w:instrText>
      </w:r>
      <w:r>
        <w:rPr>
          <w:rFonts w:asciiTheme="minorHAnsi" w:hAnsiTheme="minorHAnsi" w:cstheme="minorBidi"/>
          <w:highlight w:val="yellow"/>
          <w:lang w:bidi="en-US"/>
        </w:rPr>
        <w:fldChar w:fldCharType="end"/>
      </w:r>
      <w:r>
        <w:rPr>
          <w:rFonts w:asciiTheme="minorHAnsi" w:hAnsiTheme="minorHAnsi" w:cstheme="minorHAnsi"/>
        </w:rPr>
        <w:t xml:space="preserve">Kč bez DPH </w:t>
      </w:r>
    </w:p>
    <w:p>
      <w:pPr>
        <w:pStyle w:val="3seznam"/>
        <w:numPr>
          <w:ilvl w:val="1"/>
          <w:numId w:val="18"/>
        </w:numPr>
        <w:ind w:left="851" w:hanging="491"/>
        <w:rPr>
          <w:rFonts w:asciiTheme="minorHAnsi" w:hAnsiTheme="minorHAnsi" w:cstheme="minorHAnsi"/>
        </w:rPr>
      </w:pPr>
      <w:r>
        <w:rPr>
          <w:rFonts w:asciiTheme="minorHAnsi" w:hAnsiTheme="minorHAnsi" w:cstheme="minorHAnsi"/>
        </w:rPr>
        <w:t xml:space="preserve">byt 5: </w:t>
      </w:r>
      <w:r>
        <w:rPr>
          <w:rFonts w:asciiTheme="minorHAnsi" w:hAnsiTheme="minorHAnsi" w:cstheme="minorBidi"/>
          <w:highlight w:val="yellow"/>
          <w:lang w:bidi="en-US"/>
        </w:rPr>
        <w:fldChar w:fldCharType="begin"/>
      </w:r>
      <w:r>
        <w:rPr>
          <w:rFonts w:asciiTheme="minorHAnsi" w:hAnsiTheme="minorHAnsi" w:cstheme="minorBidi"/>
          <w:highlight w:val="yellow"/>
          <w:lang w:bidi="en-US"/>
        </w:rPr>
        <w:instrText xml:space="preserve"> MACROBUTTON  AcceptAllConflictsInDoc "[doplní účastník]" </w:instrText>
      </w:r>
      <w:r>
        <w:rPr>
          <w:rFonts w:asciiTheme="minorHAnsi" w:hAnsiTheme="minorHAnsi" w:cstheme="minorBidi"/>
          <w:highlight w:val="yellow"/>
          <w:lang w:bidi="en-US"/>
        </w:rPr>
        <w:fldChar w:fldCharType="end"/>
      </w:r>
      <w:r>
        <w:rPr>
          <w:rFonts w:asciiTheme="minorHAnsi" w:hAnsiTheme="minorHAnsi" w:cstheme="minorHAnsi"/>
        </w:rPr>
        <w:t xml:space="preserve">Kč bez DPH </w:t>
      </w:r>
    </w:p>
    <w:p>
      <w:pPr>
        <w:pStyle w:val="3seznam"/>
        <w:numPr>
          <w:ilvl w:val="1"/>
          <w:numId w:val="18"/>
        </w:numPr>
        <w:ind w:left="851" w:hanging="491"/>
        <w:rPr>
          <w:rFonts w:asciiTheme="minorHAnsi" w:hAnsiTheme="minorHAnsi" w:cstheme="minorHAnsi"/>
        </w:rPr>
      </w:pPr>
      <w:r>
        <w:rPr>
          <w:rFonts w:asciiTheme="minorHAnsi" w:hAnsiTheme="minorHAnsi" w:cstheme="minorHAnsi"/>
        </w:rPr>
        <w:t xml:space="preserve">byt 6: </w:t>
      </w:r>
      <w:r>
        <w:rPr>
          <w:rFonts w:asciiTheme="minorHAnsi" w:hAnsiTheme="minorHAnsi" w:cstheme="minorBidi"/>
          <w:highlight w:val="yellow"/>
          <w:lang w:bidi="en-US"/>
        </w:rPr>
        <w:fldChar w:fldCharType="begin"/>
      </w:r>
      <w:r>
        <w:rPr>
          <w:rFonts w:asciiTheme="minorHAnsi" w:hAnsiTheme="minorHAnsi" w:cstheme="minorBidi"/>
          <w:highlight w:val="yellow"/>
          <w:lang w:bidi="en-US"/>
        </w:rPr>
        <w:instrText xml:space="preserve"> MACROBUTTON  AcceptAllConflictsInDoc "[doplní účastník]" </w:instrText>
      </w:r>
      <w:r>
        <w:rPr>
          <w:rFonts w:asciiTheme="minorHAnsi" w:hAnsiTheme="minorHAnsi" w:cstheme="minorBidi"/>
          <w:highlight w:val="yellow"/>
          <w:lang w:bidi="en-US"/>
        </w:rPr>
        <w:fldChar w:fldCharType="end"/>
      </w:r>
      <w:r>
        <w:rPr>
          <w:rFonts w:asciiTheme="minorHAnsi" w:hAnsiTheme="minorHAnsi" w:cstheme="minorHAnsi"/>
        </w:rPr>
        <w:t xml:space="preserve">Kč bez DPH </w:t>
      </w:r>
    </w:p>
    <w:p>
      <w:pPr>
        <w:pStyle w:val="3seznam"/>
        <w:numPr>
          <w:ilvl w:val="1"/>
          <w:numId w:val="18"/>
        </w:numPr>
        <w:ind w:left="851" w:hanging="491"/>
        <w:rPr>
          <w:rFonts w:asciiTheme="minorHAnsi" w:hAnsiTheme="minorHAnsi" w:cstheme="minorHAnsi"/>
        </w:rPr>
      </w:pPr>
      <w:r>
        <w:rPr>
          <w:rFonts w:asciiTheme="minorHAnsi" w:hAnsiTheme="minorHAnsi" w:cstheme="minorHAnsi"/>
        </w:rPr>
        <w:t xml:space="preserve">byt 7: </w:t>
      </w:r>
      <w:r>
        <w:rPr>
          <w:rFonts w:asciiTheme="minorHAnsi" w:hAnsiTheme="minorHAnsi" w:cstheme="minorBidi"/>
          <w:highlight w:val="yellow"/>
          <w:lang w:bidi="en-US"/>
        </w:rPr>
        <w:fldChar w:fldCharType="begin"/>
      </w:r>
      <w:r>
        <w:rPr>
          <w:rFonts w:asciiTheme="minorHAnsi" w:hAnsiTheme="minorHAnsi" w:cstheme="minorBidi"/>
          <w:highlight w:val="yellow"/>
          <w:lang w:bidi="en-US"/>
        </w:rPr>
        <w:instrText xml:space="preserve"> MACROBUTTON  AcceptAllConflictsInDoc "[doplní účastník]" </w:instrText>
      </w:r>
      <w:r>
        <w:rPr>
          <w:rFonts w:asciiTheme="minorHAnsi" w:hAnsiTheme="minorHAnsi" w:cstheme="minorBidi"/>
          <w:highlight w:val="yellow"/>
          <w:lang w:bidi="en-US"/>
        </w:rPr>
        <w:fldChar w:fldCharType="end"/>
      </w:r>
      <w:r>
        <w:rPr>
          <w:rFonts w:asciiTheme="minorHAnsi" w:hAnsiTheme="minorHAnsi" w:cstheme="minorHAnsi"/>
        </w:rPr>
        <w:t xml:space="preserve">Kč bez DPH </w:t>
      </w:r>
    </w:p>
    <w:p>
      <w:pPr>
        <w:pStyle w:val="3seznam"/>
        <w:ind w:left="851"/>
        <w:rPr>
          <w:rFonts w:asciiTheme="minorHAnsi" w:hAnsiTheme="minorHAnsi" w:cstheme="minorHAnsi"/>
        </w:rPr>
      </w:pPr>
    </w:p>
    <w:p>
      <w:pPr>
        <w:numPr>
          <w:ilvl w:val="0"/>
          <w:numId w:val="18"/>
        </w:numPr>
        <w:jc w:val="both"/>
        <w:rPr>
          <w:rFonts w:ascii="Calibri" w:hAnsi="Calibri"/>
          <w:sz w:val="22"/>
          <w:szCs w:val="22"/>
        </w:rPr>
      </w:pPr>
      <w:r>
        <w:rPr>
          <w:rFonts w:ascii="Calibri" w:hAnsi="Calibri"/>
          <w:sz w:val="22"/>
          <w:szCs w:val="22"/>
        </w:rPr>
        <w:t>Dílčí ceny Díla jsou stanoveny položkovými rozpočty následovně:</w:t>
      </w:r>
    </w:p>
    <w:p>
      <w:pPr>
        <w:pStyle w:val="3seznam"/>
        <w:numPr>
          <w:ilvl w:val="1"/>
          <w:numId w:val="18"/>
        </w:numPr>
        <w:ind w:left="851" w:hanging="491"/>
        <w:rPr>
          <w:rFonts w:asciiTheme="minorHAnsi" w:hAnsiTheme="minorHAnsi" w:cstheme="minorBidi"/>
        </w:rPr>
      </w:pPr>
      <w:r>
        <w:rPr>
          <w:rFonts w:asciiTheme="minorHAnsi" w:hAnsiTheme="minorHAnsi" w:cstheme="minorBidi"/>
        </w:rPr>
        <w:lastRenderedPageBreak/>
        <w:t xml:space="preserve">pro byt velikosti 1+1 na ul. Brodská, tj. byt č. 1, platí položkový rozpočet uvedený v příloze č. 2.a) Smlouvy, </w:t>
      </w:r>
    </w:p>
    <w:p>
      <w:pPr>
        <w:pStyle w:val="3seznam"/>
        <w:numPr>
          <w:ilvl w:val="1"/>
          <w:numId w:val="18"/>
        </w:numPr>
        <w:ind w:left="851" w:hanging="491"/>
        <w:rPr>
          <w:rFonts w:asciiTheme="minorHAnsi" w:hAnsiTheme="minorHAnsi" w:cstheme="minorBidi"/>
        </w:rPr>
      </w:pPr>
      <w:r>
        <w:rPr>
          <w:rFonts w:asciiTheme="minorHAnsi" w:hAnsiTheme="minorHAnsi" w:cstheme="minorBidi"/>
        </w:rPr>
        <w:t xml:space="preserve"> pro byty velikosti 1+1 na ul. Libušínská, tj. byty č. 2, 3, 4, 5, 6 platí položkový rozpočet uvedený v příloze č. 2.</w:t>
      </w:r>
      <w:proofErr w:type="gramStart"/>
      <w:r>
        <w:rPr>
          <w:rFonts w:asciiTheme="minorHAnsi" w:hAnsiTheme="minorHAnsi" w:cstheme="minorBidi"/>
        </w:rPr>
        <w:t>b - 2</w:t>
      </w:r>
      <w:proofErr w:type="gramEnd"/>
      <w:r>
        <w:rPr>
          <w:rFonts w:asciiTheme="minorHAnsi" w:hAnsiTheme="minorHAnsi" w:cstheme="minorBidi"/>
        </w:rPr>
        <w:t>.f) Smlouvy,</w:t>
      </w:r>
    </w:p>
    <w:p>
      <w:pPr>
        <w:pStyle w:val="3seznam"/>
        <w:numPr>
          <w:ilvl w:val="1"/>
          <w:numId w:val="18"/>
        </w:numPr>
        <w:ind w:left="851" w:hanging="491"/>
        <w:rPr>
          <w:rFonts w:asciiTheme="minorHAnsi" w:hAnsiTheme="minorHAnsi" w:cstheme="minorBidi"/>
        </w:rPr>
      </w:pPr>
      <w:r>
        <w:rPr>
          <w:rFonts w:asciiTheme="minorHAnsi" w:hAnsiTheme="minorHAnsi" w:cstheme="minorBidi"/>
        </w:rPr>
        <w:t>pro byt velikosti 1+1 na ul. Haškova, tj. byt č. 7 platí položkový rozpočet uvedený v příloze č. 2.g) Smlouvy.</w:t>
      </w:r>
    </w:p>
    <w:p>
      <w:pPr>
        <w:numPr>
          <w:ilvl w:val="0"/>
          <w:numId w:val="18"/>
        </w:numPr>
        <w:jc w:val="both"/>
        <w:rPr>
          <w:rFonts w:ascii="Calibri" w:hAnsi="Calibri"/>
          <w:sz w:val="22"/>
          <w:szCs w:val="22"/>
        </w:rPr>
      </w:pPr>
      <w:r>
        <w:rPr>
          <w:rFonts w:ascii="Calibri" w:hAnsi="Calibri"/>
          <w:sz w:val="22"/>
          <w:szCs w:val="22"/>
        </w:rPr>
        <w:t>Cena Díla je sjednaná na rozsah daný touto Smlouvou jako cena nejvýše přípustná, platná po celou dobu výstavby, s výjimkou případů stanovených v této smlouvě o dílo. Je vyjádřena oceněním technických jednotek jednotkovými cenami v členění dle předaného soupisu stavebních prací, dodávek a služeb. V Ceně Díla jsou zahrnuty veškeré náklady Zhotovitele nezbytné pro provedení Díla.</w:t>
      </w:r>
    </w:p>
    <w:p>
      <w:pPr>
        <w:ind w:left="360"/>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Položkový rozpočet obsahuje jednotkové ceny u všech položek stavebních prací, dodávek a služeb a jejich celkové ceny pro Objednatelem vymezené množství. Nabídnutá cena díla je považovaná za cenu díla na celý rozsah zadání veřejné zakázky v rozsahu položkového rozpočtu. </w:t>
      </w:r>
    </w:p>
    <w:p>
      <w:pPr>
        <w:pStyle w:val="Odstavecseseznamem"/>
        <w:rPr>
          <w:rFonts w:ascii="Calibri" w:hAnsi="Calibri"/>
          <w:sz w:val="22"/>
          <w:szCs w:val="22"/>
        </w:rPr>
      </w:pP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18"/>
        </w:numPr>
        <w:ind w:left="709"/>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18"/>
        </w:numPr>
        <w:jc w:val="both"/>
        <w:rPr>
          <w:rFonts w:ascii="Calibri" w:hAnsi="Calibri"/>
          <w:sz w:val="22"/>
          <w:szCs w:val="22"/>
        </w:rPr>
      </w:pPr>
      <w:r>
        <w:rPr>
          <w:rFonts w:ascii="Calibri" w:hAnsi="Calibri"/>
          <w:sz w:val="22"/>
          <w:szCs w:val="22"/>
        </w:rPr>
        <w:t>Předložit Změnový list Objednateli ke schválení,</w:t>
      </w:r>
    </w:p>
    <w:p>
      <w:pPr>
        <w:numPr>
          <w:ilvl w:val="1"/>
          <w:numId w:val="18"/>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18"/>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18"/>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18"/>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18"/>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18"/>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18"/>
        </w:numPr>
        <w:jc w:val="both"/>
        <w:rPr>
          <w:rFonts w:asciiTheme="minorHAnsi" w:hAnsiTheme="minorHAnsi" w:cstheme="minorHAnsi"/>
          <w:sz w:val="22"/>
          <w:szCs w:val="22"/>
        </w:rPr>
      </w:pPr>
      <w:r>
        <w:rPr>
          <w:rFonts w:asciiTheme="minorHAnsi" w:hAnsiTheme="minorHAnsi" w:cstheme="minorHAnsi"/>
          <w:sz w:val="22"/>
          <w:szCs w:val="22"/>
        </w:rPr>
        <w:lastRenderedPageBreak/>
        <w:t>Veškeré vícepráce musí být zaznamenány v DSPD, není-li dohodnuto jinak.</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Objednatel bude hradit Zhotoviteli Cenu Díla po dokončení a předání dílčí části Díla na základě faktur – daňových dokladů (dále jen „</w:t>
      </w:r>
      <w:r>
        <w:rPr>
          <w:rFonts w:ascii="Calibri" w:hAnsi="Calibri"/>
          <w:b/>
          <w:bCs/>
          <w:i/>
          <w:iCs/>
          <w:sz w:val="22"/>
          <w:szCs w:val="22"/>
        </w:rPr>
        <w:t>Faktura</w:t>
      </w:r>
      <w:r>
        <w:rPr>
          <w:rFonts w:ascii="Calibri" w:hAnsi="Calibri"/>
          <w:sz w:val="22"/>
          <w:szCs w:val="22"/>
        </w:rPr>
        <w:t>“), vystavených za stavební práce, dodávky a služby na dílčí části Díle provedené. Datum uskutečnění zdanitelného plnění u Faktury je den převzetí dílčí části Díla Objednatelem.</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Faktura vystavená Zhotovitelem musí splňovat náležitosti daňového dokladu dle zákona č. 235/2004 Sb., o dani z přidané hodnoty, ve znění pozdějších předpisů (dále jen „</w:t>
      </w:r>
      <w:r>
        <w:rPr>
          <w:rFonts w:ascii="Calibri" w:hAnsi="Calibri"/>
          <w:b/>
          <w:bCs/>
          <w:i/>
          <w:iCs/>
          <w:sz w:val="22"/>
          <w:szCs w:val="22"/>
        </w:rPr>
        <w:t>ZoDPH</w:t>
      </w:r>
      <w:r>
        <w:rPr>
          <w:rFonts w:ascii="Calibri" w:hAnsi="Calibri"/>
          <w:sz w:val="22"/>
          <w:szCs w:val="22"/>
        </w:rPr>
        <w:t xml:space="preserve">“), včetně informace, že provedení Díla podléhá režimu přenesení daňové povinnosti a v tomto smyslu také informace, že „daň odvede zákazník“, a to v souladu s § 92a a § 92e ZoDPH. Faktura musí dále splňovat náležitosti účetního dokladu dle zákona č. 563/1991 Sb., o účetnictví, ve znění pozdějších předpisů. Faktura musí vždy splňovat náležitosti stanovené v § 435 občanského zákoníku. </w:t>
      </w:r>
    </w:p>
    <w:p>
      <w:pPr>
        <w:jc w:val="both"/>
        <w:rPr>
          <w:rFonts w:ascii="Calibri" w:hAnsi="Calibri"/>
          <w:sz w:val="22"/>
          <w:szCs w:val="22"/>
        </w:rPr>
      </w:pPr>
    </w:p>
    <w:p>
      <w:pPr>
        <w:pStyle w:val="Psmeno"/>
        <w:numPr>
          <w:ilvl w:val="0"/>
          <w:numId w:val="18"/>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18"/>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Calibri" w:hAnsi="Calibri"/>
          <w:sz w:val="22"/>
          <w:szCs w:val="22"/>
        </w:rPr>
        <w:t>xlsx</w:t>
      </w:r>
      <w:proofErr w:type="spellEnd"/>
      <w:r>
        <w:rPr>
          <w:rFonts w:ascii="Calibri" w:hAnsi="Calibri"/>
          <w:sz w:val="22"/>
          <w:szCs w:val="22"/>
        </w:rPr>
        <w:t>.</w:t>
      </w:r>
    </w:p>
    <w:p>
      <w:pPr>
        <w:pStyle w:val="Odstavecseseznamem"/>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18"/>
        </w:numPr>
        <w:tabs>
          <w:tab w:val="left" w:pos="0"/>
        </w:tabs>
        <w:jc w:val="both"/>
        <w:rPr>
          <w:rFonts w:ascii="Calibri" w:hAnsi="Calibri"/>
          <w:color w:val="000000"/>
          <w:sz w:val="22"/>
          <w:szCs w:val="22"/>
        </w:rPr>
      </w:pPr>
      <w:r>
        <w:rPr>
          <w:rFonts w:ascii="Calibri" w:hAnsi="Calibri"/>
          <w:color w:val="000000"/>
          <w:sz w:val="22"/>
          <w:szCs w:val="22"/>
        </w:rPr>
        <w:lastRenderedPageBreak/>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pStyle w:val="Odstavecseseznamem"/>
        <w:numPr>
          <w:ilvl w:val="0"/>
          <w:numId w:val="18"/>
        </w:numPr>
        <w:spacing w:after="120"/>
        <w:contextualSpacing w:val="0"/>
        <w:jc w:val="both"/>
        <w:rPr>
          <w:rFonts w:ascii="Calibri" w:hAnsi="Calibri"/>
          <w:color w:val="000000"/>
          <w:sz w:val="22"/>
          <w:szCs w:val="22"/>
        </w:rPr>
      </w:pPr>
      <w:r>
        <w:rPr>
          <w:rFonts w:ascii="Calibri" w:hAnsi="Calibri"/>
          <w:color w:val="000000"/>
          <w:sz w:val="22"/>
          <w:szCs w:val="22"/>
        </w:rPr>
        <w:t xml:space="preserve">Faktura bude obsahovat číslo této Smlouvy a bude zaslána, po odsouhlasení Objednatelem, elektronicky ve formátu ISDOC nebo ISDOCX na e-mail: faktury@zdarns.cz.  </w:t>
      </w:r>
    </w:p>
    <w:p>
      <w:pPr>
        <w:numPr>
          <w:ilvl w:val="0"/>
          <w:numId w:val="18"/>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40</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pStyle w:val="Odstavecseseznamem"/>
        <w:rPr>
          <w:rFonts w:ascii="Calibri" w:hAnsi="Calibri"/>
          <w:sz w:val="22"/>
          <w:szCs w:val="22"/>
        </w:rPr>
      </w:pPr>
    </w:p>
    <w:p>
      <w:pPr>
        <w:tabs>
          <w:tab w:val="left" w:pos="0"/>
        </w:tabs>
        <w:ind w:left="360"/>
        <w:jc w:val="both"/>
        <w:rPr>
          <w:rFonts w:ascii="Calibri" w:hAnsi="Calibri"/>
          <w:sz w:val="22"/>
          <w:szCs w:val="22"/>
        </w:rPr>
      </w:pP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18"/>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83</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18"/>
        </w:numPr>
        <w:jc w:val="both"/>
        <w:rPr>
          <w:rFonts w:ascii="Calibri" w:hAnsi="Calibri"/>
          <w:sz w:val="22"/>
          <w:szCs w:val="22"/>
        </w:rPr>
      </w:pPr>
      <w:bookmarkStart w:id="18" w:name="_Ref144310430"/>
      <w:r>
        <w:rPr>
          <w:rFonts w:ascii="Calibri" w:hAnsi="Calibri"/>
          <w:sz w:val="22"/>
          <w:szCs w:val="22"/>
        </w:rPr>
        <w:t>Zhotovitel poskytuje Objednateli záruku za jakost Díla v délce trvání záruční doby na vybavení 24 měsíců a na stavební práce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18"/>
    </w:p>
    <w:p>
      <w:pPr>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18"/>
        </w:numPr>
        <w:jc w:val="both"/>
        <w:rPr>
          <w:rFonts w:ascii="Calibri" w:hAnsi="Calibri"/>
          <w:sz w:val="22"/>
          <w:szCs w:val="22"/>
        </w:rPr>
      </w:pPr>
      <w:bookmarkStart w:id="19"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a následně potvrzeno písemnou formou.</w:t>
      </w:r>
      <w:bookmarkEnd w:id="19"/>
      <w:r>
        <w:rPr>
          <w:rFonts w:ascii="Calibri" w:hAnsi="Calibri"/>
          <w:sz w:val="22"/>
          <w:szCs w:val="22"/>
        </w:rPr>
        <w:t xml:space="preserve"> </w:t>
      </w:r>
    </w:p>
    <w:p>
      <w:pPr>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18"/>
        </w:numPr>
        <w:jc w:val="both"/>
        <w:rPr>
          <w:rFonts w:ascii="Calibri" w:hAnsi="Calibri"/>
          <w:sz w:val="22"/>
          <w:szCs w:val="22"/>
        </w:rPr>
      </w:pPr>
      <w:bookmarkStart w:id="20" w:name="_Ref140140623"/>
      <w:r>
        <w:rPr>
          <w:rFonts w:ascii="Calibri" w:hAnsi="Calibri"/>
          <w:sz w:val="22"/>
          <w:szCs w:val="22"/>
        </w:rPr>
        <w:t xml:space="preserve">V případě, že Zhotovitel bude v prodlení s odstraněním reklamované vady nebo započetím odstraňování Havárie, je Objednatel oprávněn odstranění vady provést sám nebo prostřednictvím </w:t>
      </w:r>
      <w:r>
        <w:rPr>
          <w:rFonts w:ascii="Calibri" w:hAnsi="Calibri"/>
          <w:sz w:val="22"/>
          <w:szCs w:val="22"/>
        </w:rPr>
        <w:lastRenderedPageBreak/>
        <w:t>třetí osoby na náklady Zhotovitele. Náklady s tím spojené je Zhotovitel povinen uhradit Objednateli do 10 dnů po obdržení písemné výzvy k úhradě.</w:t>
      </w:r>
      <w:bookmarkEnd w:id="20"/>
    </w:p>
    <w:p>
      <w:pPr>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83</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18"/>
        </w:numPr>
        <w:jc w:val="both"/>
        <w:rPr>
          <w:rFonts w:ascii="Calibri" w:hAnsi="Calibri"/>
          <w:sz w:val="22"/>
          <w:szCs w:val="22"/>
          <w:lang w:eastAsia="ar-SA"/>
        </w:rPr>
      </w:pPr>
      <w:bookmarkStart w:id="21"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proofErr w:type="gramStart"/>
      <w:r>
        <w:rPr>
          <w:rFonts w:asciiTheme="minorHAnsi" w:hAnsiTheme="minorHAnsi" w:cstheme="minorHAnsi"/>
          <w:sz w:val="22"/>
          <w:szCs w:val="22"/>
          <w:lang w:bidi="en-US"/>
        </w:rPr>
        <w:t>1.000.000</w:t>
      </w:r>
      <w:r>
        <w:rPr>
          <w:rFonts w:ascii="Calibri" w:hAnsi="Calibri"/>
          <w:sz w:val="22"/>
          <w:szCs w:val="22"/>
          <w:lang w:eastAsia="ar-SA"/>
        </w:rPr>
        <w:t>,-</w:t>
      </w:r>
      <w:proofErr w:type="gramEnd"/>
      <w:r>
        <w:rPr>
          <w:rFonts w:ascii="Calibri" w:hAnsi="Calibri"/>
          <w:sz w:val="22"/>
          <w:szCs w:val="22"/>
          <w:lang w:eastAsia="ar-SA"/>
        </w:rPr>
        <w:t xml:space="preserve"> Kč.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21"/>
    </w:p>
    <w:p>
      <w:pPr>
        <w:ind w:left="567"/>
        <w:jc w:val="both"/>
        <w:rPr>
          <w:rFonts w:ascii="Calibri" w:hAnsi="Calibri"/>
          <w:sz w:val="22"/>
          <w:szCs w:val="22"/>
          <w:lang w:eastAsia="ar-SA"/>
        </w:rPr>
      </w:pPr>
    </w:p>
    <w:p>
      <w:pPr>
        <w:numPr>
          <w:ilvl w:val="0"/>
          <w:numId w:val="18"/>
        </w:numPr>
        <w:jc w:val="both"/>
        <w:rPr>
          <w:rFonts w:ascii="Calibri" w:hAnsi="Calibri"/>
          <w:sz w:val="22"/>
          <w:szCs w:val="22"/>
          <w:lang w:eastAsia="ar-SA"/>
        </w:rPr>
      </w:pPr>
      <w:bookmarkStart w:id="22"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2"/>
    </w:p>
    <w:p>
      <w:pPr>
        <w:ind w:left="567"/>
        <w:jc w:val="both"/>
        <w:rPr>
          <w:rFonts w:ascii="Calibri" w:hAnsi="Calibri"/>
          <w:sz w:val="22"/>
          <w:szCs w:val="22"/>
          <w:lang w:eastAsia="ar-SA"/>
        </w:rPr>
      </w:pPr>
    </w:p>
    <w:p>
      <w:pPr>
        <w:numPr>
          <w:ilvl w:val="0"/>
          <w:numId w:val="18"/>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18"/>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18"/>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35</w:t>
      </w:r>
      <w:r>
        <w:rPr>
          <w:rFonts w:ascii="Calibri" w:hAnsi="Calibri"/>
          <w:sz w:val="22"/>
          <w:szCs w:val="22"/>
        </w:rPr>
        <w:fldChar w:fldCharType="end"/>
      </w:r>
      <w:r>
        <w:rPr>
          <w:rFonts w:ascii="Calibri" w:hAnsi="Calibri"/>
          <w:sz w:val="22"/>
          <w:szCs w:val="22"/>
        </w:rPr>
        <w:t xml:space="preserve"> Smlouvy, je Zhotovitel povinen uhradit Objednateli smluvní pokutu ve výši 0,5 % ze sjednané ceny příslušné části Díla bez DPH za každý den prodlení.</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Calibri" w:hAnsi="Calibri"/>
          <w:sz w:val="22"/>
          <w:szCs w:val="22"/>
        </w:rPr>
        <w:t>1.000,-</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89</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18"/>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56</w:t>
      </w:r>
      <w:r>
        <w:rPr>
          <w:rFonts w:ascii="Calibri" w:hAnsi="Calibri"/>
          <w:sz w:val="22"/>
          <w:szCs w:val="22"/>
        </w:rPr>
        <w:fldChar w:fldCharType="end"/>
      </w:r>
      <w:r>
        <w:rPr>
          <w:rFonts w:ascii="Calibri" w:hAnsi="Calibri"/>
          <w:sz w:val="22"/>
          <w:szCs w:val="22"/>
        </w:rPr>
        <w:t>, je povinen uhradit Objednateli smluvní pokutu ve výši 500,- Kč za každý den prodlení.</w:t>
      </w:r>
    </w:p>
    <w:p/>
    <w:p>
      <w:pPr>
        <w:numPr>
          <w:ilvl w:val="0"/>
          <w:numId w:val="18"/>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18"/>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18"/>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18"/>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18"/>
        </w:numPr>
        <w:ind w:left="1276" w:hanging="709"/>
        <w:jc w:val="both"/>
        <w:rPr>
          <w:rFonts w:ascii="Calibri" w:hAnsi="Calibri"/>
          <w:sz w:val="22"/>
          <w:szCs w:val="22"/>
        </w:rPr>
      </w:pPr>
      <w:proofErr w:type="gramStart"/>
      <w:r>
        <w:rPr>
          <w:rFonts w:ascii="Calibri" w:hAnsi="Calibri"/>
          <w:sz w:val="22"/>
          <w:szCs w:val="22"/>
        </w:rPr>
        <w:lastRenderedPageBreak/>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18"/>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91</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18"/>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pPr>
        <w:rPr>
          <w:rFonts w:ascii="Calibri" w:hAnsi="Calibri"/>
          <w:sz w:val="22"/>
          <w:szCs w:val="22"/>
        </w:rPr>
      </w:pPr>
    </w:p>
    <w:p>
      <w:pPr>
        <w:pStyle w:val="Odstavecseseznamem"/>
        <w:numPr>
          <w:ilvl w:val="0"/>
          <w:numId w:val="18"/>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18"/>
        </w:numPr>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18"/>
        </w:numPr>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18"/>
        </w:numPr>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18"/>
        </w:numPr>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35</w:t>
      </w:r>
      <w:r>
        <w:rPr>
          <w:rFonts w:ascii="Calibri" w:hAnsi="Calibri"/>
          <w:sz w:val="22"/>
          <w:szCs w:val="22"/>
        </w:rPr>
        <w:fldChar w:fldCharType="end"/>
      </w:r>
      <w:r>
        <w:rPr>
          <w:rFonts w:ascii="Calibri" w:hAnsi="Calibri"/>
          <w:sz w:val="22"/>
          <w:szCs w:val="22"/>
        </w:rPr>
        <w:t xml:space="preserve"> Smlouvy;</w:t>
      </w:r>
    </w:p>
    <w:p>
      <w:pPr>
        <w:numPr>
          <w:ilvl w:val="1"/>
          <w:numId w:val="18"/>
        </w:numPr>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35</w:t>
      </w:r>
      <w:r>
        <w:rPr>
          <w:rFonts w:ascii="Calibri" w:hAnsi="Calibri"/>
          <w:sz w:val="22"/>
          <w:szCs w:val="22"/>
        </w:rPr>
        <w:fldChar w:fldCharType="end"/>
      </w:r>
      <w:r>
        <w:rPr>
          <w:rFonts w:ascii="Calibri" w:hAnsi="Calibri"/>
          <w:sz w:val="22"/>
          <w:szCs w:val="22"/>
        </w:rPr>
        <w:t xml:space="preserve"> Smlouvy;</w:t>
      </w:r>
    </w:p>
    <w:p>
      <w:pPr>
        <w:numPr>
          <w:ilvl w:val="1"/>
          <w:numId w:val="18"/>
        </w:numPr>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18"/>
        </w:numPr>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18"/>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18"/>
        </w:numPr>
        <w:ind w:left="1276" w:hanging="709"/>
        <w:jc w:val="both"/>
        <w:rPr>
          <w:rFonts w:asciiTheme="minorHAnsi" w:hAnsiTheme="minorHAnsi" w:cstheme="minorHAnsi"/>
          <w:sz w:val="22"/>
          <w:szCs w:val="22"/>
        </w:rPr>
      </w:pPr>
      <w:r>
        <w:rPr>
          <w:rFonts w:asciiTheme="minorHAnsi" w:hAnsiTheme="minorHAnsi" w:cstheme="minorHAnsi"/>
          <w:sz w:val="22"/>
          <w:szCs w:val="22"/>
        </w:rPr>
        <w:lastRenderedPageBreak/>
        <w:t>prodlení s úhradou Faktury nebo Závěrečné faktury o více než 30 dnů, pokud Objednatel nezjedná nápravu ani do 10 dnů od doručení písemného oznámení Zhotovitele o takovém prodlení se žádostí o jeho nápravu; nebo</w:t>
      </w:r>
    </w:p>
    <w:p>
      <w:pPr>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108</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18"/>
        </w:numPr>
        <w:jc w:val="both"/>
        <w:rPr>
          <w:rFonts w:ascii="Calibri" w:hAnsi="Calibri"/>
          <w:sz w:val="22"/>
          <w:szCs w:val="22"/>
        </w:rPr>
      </w:pPr>
      <w:bookmarkStart w:id="23"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39</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3"/>
    </w:p>
    <w:p>
      <w:pPr>
        <w:pStyle w:val="Odstavecseseznamem"/>
        <w:rPr>
          <w:rFonts w:ascii="Calibri" w:hAnsi="Calibri"/>
          <w:sz w:val="22"/>
          <w:szCs w:val="22"/>
        </w:rPr>
      </w:pPr>
    </w:p>
    <w:p>
      <w:pPr>
        <w:numPr>
          <w:ilvl w:val="0"/>
          <w:numId w:val="18"/>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24" w:name="_Toc383117526"/>
      <w:r>
        <w:rPr>
          <w:szCs w:val="22"/>
        </w:rPr>
        <w:t>OSTATNÍ UJEDNÁNÍ</w:t>
      </w:r>
      <w:bookmarkEnd w:id="24"/>
    </w:p>
    <w:p>
      <w:pPr>
        <w:rPr>
          <w:lang w:eastAsia="ar-SA"/>
        </w:rPr>
      </w:pPr>
    </w:p>
    <w:p>
      <w:pPr>
        <w:numPr>
          <w:ilvl w:val="0"/>
          <w:numId w:val="18"/>
        </w:numPr>
        <w:jc w:val="both"/>
        <w:rPr>
          <w:rFonts w:ascii="Calibri" w:hAnsi="Calibri"/>
          <w:sz w:val="22"/>
          <w:szCs w:val="22"/>
        </w:rPr>
      </w:pPr>
      <w:bookmarkStart w:id="25"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5"/>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18"/>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26" w:name="_Toc383117528"/>
      <w:r>
        <w:rPr>
          <w:szCs w:val="22"/>
        </w:rPr>
        <w:t>ZÁVĚREČNÁ UJEDNÁNÍ</w:t>
      </w:r>
      <w:bookmarkEnd w:id="26"/>
    </w:p>
    <w:p>
      <w:pPr>
        <w:rPr>
          <w:rFonts w:ascii="Calibri" w:hAnsi="Calibri"/>
          <w:sz w:val="22"/>
          <w:szCs w:val="22"/>
          <w:lang w:eastAsia="ar-SA"/>
        </w:rPr>
      </w:pPr>
    </w:p>
    <w:p>
      <w:pPr>
        <w:numPr>
          <w:ilvl w:val="0"/>
          <w:numId w:val="18"/>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mjodstavec"/>
        <w:numPr>
          <w:ilvl w:val="0"/>
          <w:numId w:val="18"/>
        </w:numPr>
        <w:rPr>
          <w:rFonts w:asciiTheme="minorHAnsi" w:hAnsiTheme="minorHAnsi" w:cstheme="minorHAnsi"/>
        </w:rPr>
      </w:pPr>
      <w:r>
        <w:rPr>
          <w:rFonts w:asciiTheme="minorHAnsi" w:hAnsiTheme="minorHAnsi" w:cstheme="minorHAnsi"/>
        </w:rPr>
        <w:t>Zhotovitel výslovně souhlasí s uveřejněním celého textu této smlouvy v Registru smluv. Smluvní strany se dohodly, že uveřejnění smlouvy v Registru smluv zajistí město Žďár nad Sázavou, které před zveřejněním anonymizuje ty osobní údaje zhotovitele, které podléhají ochraně osobních údajů.</w:t>
      </w:r>
    </w:p>
    <w:p>
      <w:pPr>
        <w:pStyle w:val="Odstavecseseznamem"/>
        <w:rPr>
          <w:rFonts w:ascii="Calibri" w:hAnsi="Calibri"/>
          <w:sz w:val="22"/>
          <w:szCs w:val="22"/>
        </w:rPr>
      </w:pPr>
    </w:p>
    <w:p>
      <w:pPr>
        <w:numPr>
          <w:ilvl w:val="0"/>
          <w:numId w:val="18"/>
        </w:numPr>
        <w:jc w:val="both"/>
        <w:rPr>
          <w:rFonts w:ascii="Calibri" w:hAnsi="Calibri"/>
          <w:sz w:val="22"/>
          <w:szCs w:val="22"/>
        </w:rPr>
      </w:pPr>
      <w:r>
        <w:rPr>
          <w:rFonts w:ascii="Calibri" w:hAnsi="Calibri"/>
          <w:sz w:val="22"/>
          <w:szCs w:val="22"/>
        </w:rPr>
        <w:t>K uzavření této Smlouvy je dle usnesení Rady města Žďáru nad Sázavou č. 3398/2025/SRI/RM, ze dne 10.03.2025, oprávněn/a vedoucí příslušného odboru Městského úřadu Žďár nad Sázavou.</w:t>
      </w:r>
    </w:p>
    <w:p>
      <w:pPr>
        <w:keepNext/>
        <w:jc w:val="both"/>
        <w:rPr>
          <w:rFonts w:ascii="Calibri" w:hAnsi="Calibri"/>
          <w:b/>
          <w:sz w:val="22"/>
          <w:szCs w:val="22"/>
        </w:rPr>
      </w:pPr>
    </w:p>
    <w:p>
      <w:pPr>
        <w:keepNext/>
        <w:jc w:val="both"/>
        <w:rPr>
          <w:rFonts w:ascii="Calibri" w:hAnsi="Calibri"/>
          <w:b/>
          <w:sz w:val="22"/>
          <w:szCs w:val="22"/>
        </w:rPr>
      </w:pPr>
    </w:p>
    <w:p>
      <w:pPr>
        <w:keepNext/>
        <w:jc w:val="both"/>
        <w:rPr>
          <w:rFonts w:ascii="Calibri" w:hAnsi="Calibri"/>
          <w:b/>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27" w:name="_Ref383095347"/>
      <w:bookmarkStart w:id="28"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27"/>
      <w:bookmarkEnd w:id="28"/>
      <w:r>
        <w:rPr>
          <w:rFonts w:ascii="Calibri" w:hAnsi="Calibri"/>
          <w:sz w:val="22"/>
          <w:szCs w:val="22"/>
        </w:rPr>
        <w:t>Standard vybavení a provedení rekonstrukce bytu</w:t>
      </w:r>
    </w:p>
    <w:p>
      <w:pPr>
        <w:pStyle w:val="Odstavecseseznamem"/>
        <w:keepNext/>
        <w:numPr>
          <w:ilvl w:val="0"/>
          <w:numId w:val="8"/>
        </w:numPr>
        <w:ind w:left="567" w:hanging="567"/>
        <w:jc w:val="both"/>
        <w:rPr>
          <w:rFonts w:ascii="Calibri" w:hAnsi="Calibri"/>
          <w:sz w:val="22"/>
          <w:szCs w:val="22"/>
        </w:rPr>
      </w:pPr>
      <w:bookmarkStart w:id="29" w:name="_Ref434937891"/>
      <w:r>
        <w:rPr>
          <w:rFonts w:ascii="Calibri" w:hAnsi="Calibri"/>
          <w:sz w:val="22"/>
          <w:szCs w:val="22"/>
        </w:rPr>
        <w:t>příloha č. 2.a):</w:t>
      </w:r>
      <w:r>
        <w:rPr>
          <w:rFonts w:ascii="Calibri" w:hAnsi="Calibri"/>
          <w:sz w:val="22"/>
          <w:szCs w:val="22"/>
        </w:rPr>
        <w:tab/>
        <w:t>Položkový rozpočet</w:t>
      </w:r>
      <w:bookmarkEnd w:id="29"/>
      <w:r>
        <w:rPr>
          <w:rFonts w:ascii="Calibri" w:hAnsi="Calibri"/>
          <w:sz w:val="22"/>
          <w:szCs w:val="22"/>
        </w:rPr>
        <w:t xml:space="preserve"> pro velikost bytu 1+1 Brodská 1876/27/29</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2.b):</w:t>
      </w:r>
      <w:r>
        <w:rPr>
          <w:rFonts w:ascii="Calibri" w:hAnsi="Calibri"/>
          <w:sz w:val="22"/>
          <w:szCs w:val="22"/>
        </w:rPr>
        <w:tab/>
        <w:t>Položkový rozpočet pro velikost bytu 1+1 Libušínská 204/11/1</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2.c):</w:t>
      </w:r>
      <w:r>
        <w:rPr>
          <w:rFonts w:ascii="Calibri" w:hAnsi="Calibri"/>
          <w:sz w:val="22"/>
          <w:szCs w:val="22"/>
        </w:rPr>
        <w:tab/>
        <w:t>Položkový rozpočet pro velikost bytu 1+1 Libušínská 204/11/19</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2.d):</w:t>
      </w:r>
      <w:r>
        <w:rPr>
          <w:rFonts w:ascii="Calibri" w:hAnsi="Calibri"/>
          <w:sz w:val="22"/>
          <w:szCs w:val="22"/>
        </w:rPr>
        <w:tab/>
        <w:t>Položkový rozpočet pro velikost bytu 1+1 Libušínská 204/11/24</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2.e):</w:t>
      </w:r>
      <w:r>
        <w:rPr>
          <w:rFonts w:ascii="Calibri" w:hAnsi="Calibri"/>
          <w:sz w:val="22"/>
          <w:szCs w:val="22"/>
        </w:rPr>
        <w:tab/>
        <w:t>Položkový rozpočet pro velikost bytu 1+1 Libušínská 204/11/30</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2.f):</w:t>
      </w:r>
      <w:r>
        <w:rPr>
          <w:rFonts w:ascii="Calibri" w:hAnsi="Calibri"/>
          <w:sz w:val="22"/>
          <w:szCs w:val="22"/>
        </w:rPr>
        <w:tab/>
        <w:t>Položkový rozpočet pro velikost bytu 1+1 Libušínská 204/13/39</w:t>
      </w:r>
    </w:p>
    <w:p>
      <w:pPr>
        <w:pStyle w:val="Odstavecseseznamem"/>
        <w:keepNext/>
        <w:numPr>
          <w:ilvl w:val="0"/>
          <w:numId w:val="8"/>
        </w:numPr>
        <w:ind w:left="567" w:hanging="567"/>
        <w:jc w:val="both"/>
        <w:rPr>
          <w:rFonts w:ascii="Calibri" w:hAnsi="Calibri"/>
          <w:sz w:val="22"/>
          <w:szCs w:val="22"/>
        </w:rPr>
      </w:pPr>
      <w:r>
        <w:rPr>
          <w:rFonts w:ascii="Calibri" w:hAnsi="Calibri"/>
          <w:sz w:val="22"/>
          <w:szCs w:val="22"/>
        </w:rPr>
        <w:t>příloha č. 2.g):</w:t>
      </w:r>
      <w:r>
        <w:rPr>
          <w:rFonts w:ascii="Calibri" w:hAnsi="Calibri"/>
          <w:sz w:val="22"/>
          <w:szCs w:val="22"/>
        </w:rPr>
        <w:tab/>
        <w:t>Položkový rozpočet pro velikost bytu 1+1 Haškova 2169/6/7</w:t>
      </w:r>
    </w:p>
    <w:p>
      <w:pPr>
        <w:pStyle w:val="Odstavecseseznamem"/>
        <w:keepNext/>
        <w:ind w:left="567"/>
        <w:jc w:val="both"/>
        <w:rPr>
          <w:rFonts w:ascii="Calibri" w:hAnsi="Calibri"/>
          <w:sz w:val="22"/>
          <w:szCs w:val="22"/>
          <w:highlight w:val="yellow"/>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Ve Žďáře nad Sázavou dne </w:t>
      </w:r>
      <w:r>
        <w:rPr>
          <w:rFonts w:asciiTheme="minorHAnsi" w:hAnsiTheme="minorHAnsi" w:cstheme="minorHAnsi"/>
          <w:sz w:val="22"/>
          <w:szCs w:val="22"/>
          <w:highlight w:val="cyan"/>
        </w:rPr>
        <w:t>[bude doplněno]</w:t>
      </w:r>
      <w:r>
        <w:rPr>
          <w:rFonts w:asciiTheme="minorHAnsi" w:hAnsiTheme="minorHAnsi" w:cstheme="minorHAnsi"/>
          <w:sz w:val="22"/>
          <w:szCs w:val="22"/>
        </w:rPr>
        <w:tab/>
      </w:r>
      <w:r>
        <w:rPr>
          <w:rFonts w:asciiTheme="minorHAnsi" w:hAnsiTheme="minorHAnsi" w:cstheme="minorHAnsi"/>
          <w:sz w:val="22"/>
          <w:szCs w:val="22"/>
        </w:rPr>
        <w:tab/>
        <w:t xml:space="preserve">V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Theme="minorHAnsi" w:hAnsiTheme="minorHAnsi" w:cstheme="minorHAnsi"/>
          <w:sz w:val="22"/>
          <w:szCs w:val="22"/>
        </w:rPr>
        <w:t xml:space="preserve"> dne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jc w:val="both"/>
        <w:rPr>
          <w:rFonts w:asciiTheme="minorHAnsi" w:hAnsiTheme="minorHAnsi" w:cstheme="minorHAnsi"/>
          <w:sz w:val="22"/>
          <w:szCs w:val="22"/>
        </w:rPr>
      </w:pPr>
    </w:p>
    <w:p>
      <w:pPr>
        <w:jc w:val="both"/>
        <w:rPr>
          <w:rFonts w:asciiTheme="minorHAnsi" w:hAnsiTheme="minorHAnsi" w:cstheme="minorHAnsi"/>
          <w:b/>
          <w:sz w:val="22"/>
          <w:szCs w:val="22"/>
        </w:rPr>
      </w:pPr>
    </w:p>
    <w:p>
      <w:pPr>
        <w:rPr>
          <w:rFonts w:asciiTheme="minorHAnsi" w:hAnsiTheme="minorHAnsi" w:cstheme="minorHAnsi"/>
          <w:b/>
          <w:sz w:val="22"/>
          <w:szCs w:val="22"/>
        </w:rPr>
      </w:pPr>
    </w:p>
    <w:p>
      <w:pPr>
        <w:rPr>
          <w:rFonts w:asciiTheme="minorHAnsi" w:hAnsiTheme="minorHAnsi" w:cstheme="minorHAnsi"/>
          <w:b/>
          <w:sz w:val="22"/>
          <w:szCs w:val="22"/>
        </w:rPr>
      </w:pPr>
    </w:p>
    <w:p>
      <w:pPr>
        <w:rPr>
          <w:rFonts w:asciiTheme="minorHAnsi" w:hAnsiTheme="minorHAnsi" w:cstheme="minorHAnsi"/>
          <w:sz w:val="22"/>
          <w:szCs w:val="22"/>
        </w:rPr>
      </w:pPr>
      <w:r>
        <w:rPr>
          <w:rFonts w:asciiTheme="minorHAnsi" w:hAnsiTheme="minorHAnsi" w:cstheme="minorHAnsi"/>
          <w:sz w:val="22"/>
          <w:szCs w:val="22"/>
        </w:rPr>
        <w:lastRenderedPageBreak/>
        <w:t>_____________________________________</w:t>
      </w:r>
      <w:r>
        <w:rPr>
          <w:rFonts w:asciiTheme="minorHAnsi" w:hAnsiTheme="minorHAnsi" w:cstheme="minorHAnsi"/>
          <w:sz w:val="22"/>
          <w:szCs w:val="22"/>
        </w:rPr>
        <w:tab/>
      </w:r>
      <w:r>
        <w:rPr>
          <w:rFonts w:asciiTheme="minorHAnsi" w:hAnsiTheme="minorHAnsi" w:cstheme="minorHAnsi"/>
          <w:sz w:val="22"/>
          <w:szCs w:val="22"/>
        </w:rPr>
        <w:tab/>
        <w:t>_____________________________________</w:t>
      </w:r>
    </w:p>
    <w:p>
      <w:pPr>
        <w:rPr>
          <w:rFonts w:asciiTheme="minorHAnsi" w:hAnsiTheme="minorHAnsi" w:cstheme="minorHAnsi"/>
          <w:b/>
          <w:sz w:val="22"/>
          <w:szCs w:val="22"/>
        </w:rPr>
      </w:pPr>
      <w:r>
        <w:rPr>
          <w:rFonts w:asciiTheme="minorHAnsi" w:hAnsiTheme="minorHAnsi" w:cstheme="minorHAnsi"/>
          <w:b/>
          <w:sz w:val="22"/>
          <w:szCs w:val="22"/>
        </w:rPr>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Zhotovitel</w:t>
      </w:r>
    </w:p>
    <w:p>
      <w:pPr>
        <w:pStyle w:val="Zkladntext2"/>
        <w:tabs>
          <w:tab w:val="left" w:pos="4678"/>
        </w:tabs>
        <w:suppressAutoHyphens/>
        <w:spacing w:before="120" w:line="240" w:lineRule="auto"/>
        <w:rPr>
          <w:rFonts w:asciiTheme="minorHAnsi" w:hAnsiTheme="minorHAnsi" w:cstheme="minorHAnsi"/>
          <w:sz w:val="22"/>
          <w:szCs w:val="22"/>
        </w:rPr>
      </w:pPr>
      <w:r>
        <w:rPr>
          <w:rFonts w:asciiTheme="minorHAnsi" w:hAnsiTheme="minorHAnsi" w:cstheme="minorHAnsi"/>
          <w:sz w:val="22"/>
          <w:szCs w:val="22"/>
        </w:rPr>
        <w:t>Ing. Dana Wurzelová</w:t>
      </w:r>
      <w:r>
        <w:rPr>
          <w:rFonts w:asciiTheme="minorHAnsi" w:hAnsiTheme="minorHAnsi" w:cstheme="minorHAnsi"/>
        </w:rPr>
        <w:tab/>
      </w:r>
      <w:r>
        <w:rPr>
          <w:rFonts w:asciiTheme="minorHAnsi" w:hAnsiTheme="minorHAnsi" w:cstheme="minorHAnsi"/>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right="-142"/>
        <w:rPr>
          <w:rFonts w:asciiTheme="minorHAnsi" w:hAnsiTheme="minorHAnsi" w:cstheme="minorHAnsi"/>
          <w:sz w:val="22"/>
          <w:szCs w:val="22"/>
        </w:rPr>
      </w:pPr>
      <w:r>
        <w:rPr>
          <w:rFonts w:asciiTheme="minorHAnsi" w:hAnsiTheme="minorHAnsi" w:cstheme="minorHAnsi"/>
          <w:sz w:val="22"/>
          <w:szCs w:val="22"/>
        </w:rPr>
        <w:t>vedoucí odboru majetku a komunálních služeb</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right="-142"/>
        <w:rPr>
          <w:rFonts w:asciiTheme="minorHAnsi" w:hAnsiTheme="minorHAnsi" w:cstheme="minorHAnsi"/>
          <w:sz w:val="22"/>
          <w:szCs w:val="22"/>
        </w:rPr>
      </w:pPr>
      <w:r>
        <w:rPr>
          <w:rFonts w:asciiTheme="minorHAnsi" w:hAnsiTheme="minorHAnsi" w:cstheme="minorHAnsi"/>
          <w:sz w:val="22"/>
          <w:szCs w:val="22"/>
        </w:rPr>
        <w:t>Město Žďár nad Sázavou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jc w:val="both"/>
        <w:rPr>
          <w:rFonts w:asciiTheme="minorHAnsi" w:hAnsiTheme="minorHAnsi" w:cstheme="minorHAnsi"/>
          <w:sz w:val="22"/>
          <w:szCs w:val="22"/>
        </w:rPr>
      </w:pPr>
    </w:p>
    <w:p>
      <w:pPr>
        <w:jc w:val="both"/>
        <w:rPr>
          <w:rFonts w:asciiTheme="minorHAnsi" w:hAnsiTheme="minorHAnsi" w:cstheme="minorHAnsi"/>
          <w:b/>
          <w:bCs/>
          <w:sz w:val="22"/>
          <w:szCs w:val="22"/>
        </w:rPr>
      </w:pPr>
    </w:p>
    <w:p>
      <w:pPr>
        <w:jc w:val="both"/>
        <w:rPr>
          <w:rFonts w:asciiTheme="minorHAnsi" w:hAnsiTheme="minorHAnsi" w:cstheme="minorHAnsi"/>
          <w:b/>
          <w:bCs/>
          <w:sz w:val="22"/>
          <w:szCs w:val="22"/>
        </w:rPr>
      </w:pPr>
    </w:p>
    <w:p>
      <w:pPr>
        <w:ind w:right="-142"/>
        <w:rPr>
          <w:rFonts w:asciiTheme="minorHAnsi" w:hAnsiTheme="minorHAnsi" w:cstheme="minorHAnsi"/>
          <w:sz w:val="22"/>
          <w:szCs w:val="22"/>
        </w:rPr>
      </w:pPr>
    </w:p>
    <w:sectPr>
      <w:foot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18</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1741936" cy="10088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741936" cy="1008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F1FF5"/>
    <w:multiLevelType w:val="hybridMultilevel"/>
    <w:tmpl w:val="51DE0464"/>
    <w:lvl w:ilvl="0" w:tplc="04050019">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DD4DAB"/>
    <w:multiLevelType w:val="hybridMultilevel"/>
    <w:tmpl w:val="B906C772"/>
    <w:lvl w:ilvl="0" w:tplc="024C9D0E">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0DB3643"/>
    <w:multiLevelType w:val="hybridMultilevel"/>
    <w:tmpl w:val="2326F604"/>
    <w:lvl w:ilvl="0" w:tplc="9B162B50">
      <w:start w:val="1"/>
      <w:numFmt w:val="decimal"/>
      <w:pStyle w:val="mjodstavec"/>
      <w:lvlText w:val="%1."/>
      <w:lvlJc w:val="left"/>
      <w:pPr>
        <w:ind w:left="720" w:hanging="360"/>
      </w:pPr>
      <w:rPr>
        <w:b w:val="0"/>
        <w:bCs w:val="0"/>
      </w:rPr>
    </w:lvl>
    <w:lvl w:ilvl="1" w:tplc="04050017">
      <w:start w:val="1"/>
      <w:numFmt w:val="lowerLetter"/>
      <w:lvlText w:val="%2)"/>
      <w:lvlJc w:val="left"/>
      <w:pPr>
        <w:ind w:left="1440" w:hanging="360"/>
      </w:pPr>
      <w:rPr>
        <w:b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A651D90"/>
    <w:multiLevelType w:val="hybridMultilevel"/>
    <w:tmpl w:val="C624CA04"/>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7" w15:restartNumberingAfterBreak="0">
    <w:nsid w:val="33B32684"/>
    <w:multiLevelType w:val="multilevel"/>
    <w:tmpl w:val="4DDC400E"/>
    <w:lvl w:ilvl="0">
      <w:start w:val="3"/>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5D0E73"/>
    <w:multiLevelType w:val="multilevel"/>
    <w:tmpl w:val="47166A26"/>
    <w:lvl w:ilvl="0">
      <w:start w:val="32"/>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3CD3247B"/>
    <w:multiLevelType w:val="multilevel"/>
    <w:tmpl w:val="DDD025CC"/>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710" w:hanging="284"/>
      </w:pPr>
      <w:rPr>
        <w:rFonts w:ascii="Arial" w:hAnsi="Arial" w:cs="Arial" w:hint="default"/>
        <w:b w:val="0"/>
        <w:bCs/>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C147EF"/>
    <w:multiLevelType w:val="multilevel"/>
    <w:tmpl w:val="BD5273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4B860A0A"/>
    <w:multiLevelType w:val="multilevel"/>
    <w:tmpl w:val="4DDC400E"/>
    <w:lvl w:ilvl="0">
      <w:start w:val="3"/>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E1116C"/>
    <w:multiLevelType w:val="multilevel"/>
    <w:tmpl w:val="88665AEA"/>
    <w:lvl w:ilvl="0">
      <w:start w:val="46"/>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786B07"/>
    <w:multiLevelType w:val="multilevel"/>
    <w:tmpl w:val="8E2CDB36"/>
    <w:lvl w:ilvl="0">
      <w:start w:val="15"/>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0F1D6D"/>
    <w:multiLevelType w:val="multilevel"/>
    <w:tmpl w:val="88BC259E"/>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710" w:hanging="284"/>
      </w:pPr>
      <w:rPr>
        <w:rFonts w:ascii="Arial" w:hAnsi="Arial" w:cs="Arial" w:hint="default"/>
        <w:b w:val="0"/>
        <w:bCs/>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22"/>
  </w:num>
  <w:num w:numId="5">
    <w:abstractNumId w:val="2"/>
  </w:num>
  <w:num w:numId="6">
    <w:abstractNumId w:val="9"/>
  </w:num>
  <w:num w:numId="7">
    <w:abstractNumId w:val="14"/>
  </w:num>
  <w:num w:numId="8">
    <w:abstractNumId w:val="18"/>
  </w:num>
  <w:num w:numId="9">
    <w:abstractNumId w:val="11"/>
  </w:num>
  <w:num w:numId="10">
    <w:abstractNumId w:val="21"/>
  </w:num>
  <w:num w:numId="11">
    <w:abstractNumId w:val="20"/>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17"/>
  </w:num>
  <w:num w:numId="18">
    <w:abstractNumId w:val="16"/>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5"/>
  </w:num>
  <w:num w:numId="23">
    <w:abstractNumId w:val="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oNotTrackFormattin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mjodstavecChar">
    <w:name w:val="můj odstavec Char"/>
    <w:link w:val="mjodstavec"/>
    <w:locked/>
    <w:rPr>
      <w:rFonts w:ascii="Arial" w:hAnsi="Arial" w:cs="Arial"/>
      <w:sz w:val="22"/>
      <w:szCs w:val="22"/>
      <w:lang w:eastAsia="ar-SA"/>
    </w:rPr>
  </w:style>
  <w:style w:type="paragraph" w:customStyle="1" w:styleId="mjodstavec">
    <w:name w:val="můj odstavec"/>
    <w:basedOn w:val="Odstavecseseznamem"/>
    <w:link w:val="mjodstavecChar"/>
    <w:qFormat/>
    <w:pPr>
      <w:numPr>
        <w:numId w:val="13"/>
      </w:numPr>
      <w:spacing w:before="120" w:after="120"/>
      <w:contextualSpacing w:val="0"/>
      <w:jc w:val="both"/>
    </w:pPr>
    <w:rPr>
      <w:rFonts w:ascii="Arial" w:eastAsiaTheme="minorHAnsi" w:hAnsi="Arial" w:cs="Arial"/>
      <w:sz w:val="22"/>
      <w:szCs w:val="22"/>
      <w:lang w:eastAsia="ar-SA"/>
    </w:rPr>
  </w:style>
  <w:style w:type="paragraph" w:customStyle="1" w:styleId="3seznam">
    <w:name w:val="3seznam"/>
    <w:basedOn w:val="Normln"/>
    <w:qFormat/>
    <w:pPr>
      <w:spacing w:before="120" w:after="120"/>
      <w:jc w:val="both"/>
    </w:pPr>
    <w:rPr>
      <w:rFonts w:ascii="Arial" w:eastAsia="Calibri" w:hAnsi="Arial" w:cs="Arial"/>
      <w:sz w:val="22"/>
      <w:szCs w:val="22"/>
      <w:lang w:eastAsia="en-US"/>
    </w:rPr>
  </w:style>
  <w:style w:type="paragraph" w:customStyle="1" w:styleId="Odstavecodsazen">
    <w:name w:val="Odstavec odsazený"/>
    <w:basedOn w:val="Normln"/>
    <w:pPr>
      <w:widowControl w:val="0"/>
      <w:tabs>
        <w:tab w:val="left" w:pos="1699"/>
      </w:tabs>
      <w:suppressAutoHyphens/>
      <w:spacing w:line="100" w:lineRule="atLeast"/>
      <w:ind w:left="1332" w:hanging="849"/>
      <w:jc w:val="both"/>
    </w:pPr>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4672">
      <w:bodyDiv w:val="1"/>
      <w:marLeft w:val="0"/>
      <w:marRight w:val="0"/>
      <w:marTop w:val="0"/>
      <w:marBottom w:val="0"/>
      <w:divBdr>
        <w:top w:val="none" w:sz="0" w:space="0" w:color="auto"/>
        <w:left w:val="none" w:sz="0" w:space="0" w:color="auto"/>
        <w:bottom w:val="none" w:sz="0" w:space="0" w:color="auto"/>
        <w:right w:val="none" w:sz="0" w:space="0" w:color="auto"/>
      </w:divBdr>
    </w:div>
    <w:div w:id="606472214">
      <w:bodyDiv w:val="1"/>
      <w:marLeft w:val="0"/>
      <w:marRight w:val="0"/>
      <w:marTop w:val="0"/>
      <w:marBottom w:val="0"/>
      <w:divBdr>
        <w:top w:val="none" w:sz="0" w:space="0" w:color="auto"/>
        <w:left w:val="none" w:sz="0" w:space="0" w:color="auto"/>
        <w:bottom w:val="none" w:sz="0" w:space="0" w:color="auto"/>
        <w:right w:val="none" w:sz="0" w:space="0" w:color="auto"/>
      </w:divBdr>
    </w:div>
    <w:div w:id="754941670">
      <w:bodyDiv w:val="1"/>
      <w:marLeft w:val="0"/>
      <w:marRight w:val="0"/>
      <w:marTop w:val="0"/>
      <w:marBottom w:val="0"/>
      <w:divBdr>
        <w:top w:val="none" w:sz="0" w:space="0" w:color="auto"/>
        <w:left w:val="none" w:sz="0" w:space="0" w:color="auto"/>
        <w:bottom w:val="none" w:sz="0" w:space="0" w:color="auto"/>
        <w:right w:val="none" w:sz="0" w:space="0" w:color="auto"/>
      </w:divBdr>
    </w:div>
    <w:div w:id="792093835">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826433342">
      <w:bodyDiv w:val="1"/>
      <w:marLeft w:val="0"/>
      <w:marRight w:val="0"/>
      <w:marTop w:val="0"/>
      <w:marBottom w:val="0"/>
      <w:divBdr>
        <w:top w:val="none" w:sz="0" w:space="0" w:color="auto"/>
        <w:left w:val="none" w:sz="0" w:space="0" w:color="auto"/>
        <w:bottom w:val="none" w:sz="0" w:space="0" w:color="auto"/>
        <w:right w:val="none" w:sz="0" w:space="0" w:color="auto"/>
      </w:divBdr>
    </w:div>
    <w:div w:id="1076897614">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266620275">
      <w:bodyDiv w:val="1"/>
      <w:marLeft w:val="0"/>
      <w:marRight w:val="0"/>
      <w:marTop w:val="0"/>
      <w:marBottom w:val="0"/>
      <w:divBdr>
        <w:top w:val="none" w:sz="0" w:space="0" w:color="auto"/>
        <w:left w:val="none" w:sz="0" w:space="0" w:color="auto"/>
        <w:bottom w:val="none" w:sz="0" w:space="0" w:color="auto"/>
        <w:right w:val="none" w:sz="0" w:space="0" w:color="auto"/>
      </w:divBdr>
    </w:div>
    <w:div w:id="1284337716">
      <w:bodyDiv w:val="1"/>
      <w:marLeft w:val="0"/>
      <w:marRight w:val="0"/>
      <w:marTop w:val="0"/>
      <w:marBottom w:val="0"/>
      <w:divBdr>
        <w:top w:val="none" w:sz="0" w:space="0" w:color="auto"/>
        <w:left w:val="none" w:sz="0" w:space="0" w:color="auto"/>
        <w:bottom w:val="none" w:sz="0" w:space="0" w:color="auto"/>
        <w:right w:val="none" w:sz="0" w:space="0" w:color="auto"/>
      </w:divBdr>
    </w:div>
    <w:div w:id="1350907568">
      <w:bodyDiv w:val="1"/>
      <w:marLeft w:val="0"/>
      <w:marRight w:val="0"/>
      <w:marTop w:val="0"/>
      <w:marBottom w:val="0"/>
      <w:divBdr>
        <w:top w:val="none" w:sz="0" w:space="0" w:color="auto"/>
        <w:left w:val="none" w:sz="0" w:space="0" w:color="auto"/>
        <w:bottom w:val="none" w:sz="0" w:space="0" w:color="auto"/>
        <w:right w:val="none" w:sz="0" w:space="0" w:color="auto"/>
      </w:divBdr>
    </w:div>
    <w:div w:id="1462377387">
      <w:bodyDiv w:val="1"/>
      <w:marLeft w:val="0"/>
      <w:marRight w:val="0"/>
      <w:marTop w:val="0"/>
      <w:marBottom w:val="0"/>
      <w:divBdr>
        <w:top w:val="none" w:sz="0" w:space="0" w:color="auto"/>
        <w:left w:val="none" w:sz="0" w:space="0" w:color="auto"/>
        <w:bottom w:val="none" w:sz="0" w:space="0" w:color="auto"/>
        <w:right w:val="none" w:sz="0" w:space="0" w:color="auto"/>
      </w:divBdr>
    </w:div>
    <w:div w:id="1549100888">
      <w:bodyDiv w:val="1"/>
      <w:marLeft w:val="0"/>
      <w:marRight w:val="0"/>
      <w:marTop w:val="0"/>
      <w:marBottom w:val="0"/>
      <w:divBdr>
        <w:top w:val="none" w:sz="0" w:space="0" w:color="auto"/>
        <w:left w:val="none" w:sz="0" w:space="0" w:color="auto"/>
        <w:bottom w:val="none" w:sz="0" w:space="0" w:color="auto"/>
        <w:right w:val="none" w:sz="0" w:space="0" w:color="auto"/>
      </w:divBdr>
    </w:div>
    <w:div w:id="1594165288">
      <w:bodyDiv w:val="1"/>
      <w:marLeft w:val="0"/>
      <w:marRight w:val="0"/>
      <w:marTop w:val="0"/>
      <w:marBottom w:val="0"/>
      <w:divBdr>
        <w:top w:val="none" w:sz="0" w:space="0" w:color="auto"/>
        <w:left w:val="none" w:sz="0" w:space="0" w:color="auto"/>
        <w:bottom w:val="none" w:sz="0" w:space="0" w:color="auto"/>
        <w:right w:val="none" w:sz="0" w:space="0" w:color="auto"/>
      </w:divBdr>
    </w:div>
    <w:div w:id="1875457649">
      <w:bodyDiv w:val="1"/>
      <w:marLeft w:val="0"/>
      <w:marRight w:val="0"/>
      <w:marTop w:val="0"/>
      <w:marBottom w:val="0"/>
      <w:divBdr>
        <w:top w:val="none" w:sz="0" w:space="0" w:color="auto"/>
        <w:left w:val="none" w:sz="0" w:space="0" w:color="auto"/>
        <w:bottom w:val="none" w:sz="0" w:space="0" w:color="auto"/>
        <w:right w:val="none" w:sz="0" w:space="0" w:color="auto"/>
      </w:divBdr>
    </w:div>
    <w:div w:id="20341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pPr>
            <w:pStyle w:val="A2E93F46EFBB450EAAA74C9B0F3D751D"/>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pPr>
            <w:pStyle w:val="D74AD705E0EE4E1BA1042E55ED6D1D73"/>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
      <w:docPartPr>
        <w:name w:val="77AD602D2442485FBA9C13B8C2866550"/>
        <w:category>
          <w:name w:val="Obecné"/>
          <w:gallery w:val="placeholder"/>
        </w:category>
        <w:types>
          <w:type w:val="bbPlcHdr"/>
        </w:types>
        <w:behaviors>
          <w:behavior w:val="content"/>
        </w:behaviors>
        <w:guid w:val="{C7F75016-EDB5-46A5-9032-6535E1B4BA17}"/>
      </w:docPartPr>
      <w:docPartBody>
        <w:p>
          <w:pPr>
            <w:pStyle w:val="77AD602D2442485FBA9C13B8C2866550"/>
          </w:pPr>
          <w:r>
            <w:rPr>
              <w:rStyle w:val="Zstupntext"/>
              <w:highlight w:val="yellow"/>
            </w:rPr>
            <w:t>zvolte položku</w:t>
          </w:r>
        </w:p>
      </w:docPartBody>
    </w:docPart>
    <w:docPart>
      <w:docPartPr>
        <w:name w:val="0125D1BCA0EE48478CF18D079ECD0151"/>
        <w:category>
          <w:name w:val="General"/>
          <w:gallery w:val="placeholder"/>
        </w:category>
        <w:types>
          <w:type w:val="bbPlcHdr"/>
        </w:types>
        <w:behaviors>
          <w:behavior w:val="content"/>
        </w:behaviors>
        <w:guid w:val="{1255DDFF-947A-4300-9D0B-79AED5AE0C35}"/>
      </w:docPartPr>
      <w:docPartBody>
        <w:p>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D74AD705E0EE4E1BA1042E55ED6D1D73">
    <w:name w:val="D74AD705E0EE4E1BA1042E55ED6D1D73"/>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 w:type="paragraph" w:customStyle="1" w:styleId="77AD602D2442485FBA9C13B8C2866550">
    <w:name w:val="77AD602D2442485FBA9C13B8C2866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7104</Words>
  <Characters>41914</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14</cp:revision>
  <cp:lastPrinted>2022-07-14T18:38:00Z</cp:lastPrinted>
  <dcterms:created xsi:type="dcterms:W3CDTF">2025-10-22T07:28:00Z</dcterms:created>
  <dcterms:modified xsi:type="dcterms:W3CDTF">2025-11-12T06:50:00Z</dcterms:modified>
</cp:coreProperties>
</file>