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
          <w:sz w:val="28"/>
          <w:szCs w:val="22"/>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cstheme="minorHAnsi"/>
                <w:b/>
                <w:sz w:val="22"/>
                <w:szCs w:val="22"/>
              </w:rPr>
              <w:t>Renovace umělého povrchu běžecké dráhy ZŠ Komenského 2</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r>
              <w:rPr>
                <w:rFonts w:asciiTheme="minorHAnsi" w:hAnsiTheme="minorHAnsi" w:cstheme="minorHAnsi"/>
                <w:sz w:val="22"/>
                <w:szCs w:val="22"/>
                <w:lang w:bidi="en-US"/>
              </w:rPr>
              <w:t>https://zakazky.zdarns.cz/vz00001276</w:t>
            </w:r>
            <w:r>
              <w:rPr>
                <w:rFonts w:asciiTheme="minorHAnsi" w:eastAsia="Calibri" w:hAnsiTheme="minorHAnsi" w:cstheme="minorHAnsi"/>
                <w:color w:val="0000FF"/>
                <w:sz w:val="22"/>
                <w:szCs w:val="22"/>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Calibri" w:hAnsi="Calibri"/>
                <w:color w:val="000000"/>
                <w:sz w:val="22"/>
                <w:szCs w:val="22"/>
              </w:rPr>
              <w:t>Ing. Dana Wurzelová, vedoucí odboru majetku a komunálních služeb</w:t>
            </w:r>
            <w:r>
              <w:rPr>
                <w:rFonts w:asciiTheme="minorHAnsi" w:hAnsiTheme="minorHAnsi" w:cstheme="minorHAnsi"/>
                <w:sz w:val="22"/>
                <w:szCs w:val="22"/>
                <w:lang w:bidi="en-US"/>
              </w:rPr>
              <w:t>, na základě pověření ze směrnice města č. 1/2025 o zadávání veřejných zakázek</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nevyžaduje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Nepředložení návrhu smlouvy v nabídce se nevztahuje na přílohu č. 2 – Položkový rozpočet, který musí být účastníkem předložen vždy.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Účastník výběrového řízení podáním nabídky projevuje svoji vůli k akceptaci veškerých obchodních podmínek tak, jak byly zadavatelem stanoveny v návrhu smlouvy o dílo a jeho přílohách.</w:t>
      </w: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b/>
          <w:bCs/>
        </w:rPr>
      </w:pPr>
      <w:r>
        <w:rPr>
          <w:rFonts w:ascii="Calibri" w:eastAsia="Calibri" w:hAnsi="Calibri" w:cs="Calibri"/>
          <w:i/>
          <w:iCs/>
        </w:rPr>
        <w:lastRenderedPageBreak/>
        <w:t xml:space="preserve">Číslo Smlouvy Objednatele: </w:t>
      </w:r>
      <w:r>
        <w:rPr>
          <w:rFonts w:ascii="Calibri" w:hAnsi="Calibri" w:cs="Calibri"/>
          <w:bCs/>
          <w:i/>
          <w:iCs/>
          <w:highlight w:val="yellow"/>
          <w:lang w:bidi="en-US"/>
        </w:rPr>
        <w:fldChar w:fldCharType="begin"/>
      </w:r>
      <w:r>
        <w:rPr>
          <w:rFonts w:ascii="Calibri" w:hAnsi="Calibri" w:cs="Calibri"/>
          <w:bCs/>
          <w:i/>
          <w:iCs/>
          <w:highlight w:val="yellow"/>
          <w:lang w:bidi="en-US"/>
        </w:rPr>
        <w:instrText xml:space="preserve"> MACROBUTTON  AcceptAllConflictsInDoc "[bude doplněno]" </w:instrText>
      </w:r>
      <w:r>
        <w:rPr>
          <w:rFonts w:ascii="Calibri" w:hAnsi="Calibri" w:cs="Calibri"/>
          <w:bCs/>
          <w:i/>
          <w:iCs/>
          <w:highlight w:val="yellow"/>
          <w:lang w:bidi="en-US"/>
        </w:rPr>
        <w:fldChar w:fldCharType="end"/>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Theme="minorHAnsi" w:hAnsiTheme="minorHAnsi" w:cstheme="minorHAnsi"/>
          <w:color w:val="FF0000"/>
          <w:sz w:val="22"/>
          <w:szCs w:val="22"/>
          <w:lang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ČSOB, a.s., číslo účtu: 1473416/0300</w:t>
      </w:r>
    </w:p>
    <w:p>
      <w:pPr>
        <w:rPr>
          <w:rFonts w:ascii="Calibri" w:hAnsi="Calibri"/>
          <w:color w:val="000000"/>
          <w:sz w:val="22"/>
          <w:szCs w:val="22"/>
        </w:rPr>
      </w:pPr>
    </w:p>
    <w:p>
      <w:pPr>
        <w:ind w:left="4253" w:hanging="3686"/>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t>Ing. Dana Wurzelová, vedoucí odboru majetku a komunálních služeb</w:t>
      </w:r>
      <w:r>
        <w:rPr>
          <w:rFonts w:asciiTheme="minorHAnsi" w:hAnsiTheme="minorHAnsi" w:cstheme="minorHAnsi"/>
          <w:sz w:val="22"/>
          <w:szCs w:val="22"/>
          <w:lang w:bidi="en-US"/>
        </w:rPr>
        <w:t>, na základě pověření ze směrnice města č. 1/2025 o zadávání veřejných zakázek</w:t>
      </w:r>
    </w:p>
    <w:p>
      <w:pPr>
        <w:ind w:left="567"/>
        <w:rPr>
          <w:rFonts w:ascii="Calibri" w:hAnsi="Calibri"/>
          <w:color w:val="000000"/>
          <w:sz w:val="22"/>
          <w:szCs w:val="22"/>
        </w:rPr>
      </w:pPr>
    </w:p>
    <w:p>
      <w:pPr>
        <w:ind w:left="4242" w:hanging="3675"/>
        <w:rPr>
          <w:rFonts w:ascii="Calibri" w:hAnsi="Calibri"/>
          <w:color w:val="000000"/>
          <w:sz w:val="22"/>
          <w:szCs w:val="22"/>
        </w:rPr>
      </w:pPr>
    </w:p>
    <w:p>
      <w:pPr>
        <w:ind w:left="4242" w:hanging="3675"/>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t>ve věcech technických Ing. Vojtěch Pokorný, referent odboru majetku a komunálních služeb</w:t>
      </w:r>
    </w:p>
    <w:p>
      <w:pPr>
        <w:ind w:left="4242" w:hanging="3675"/>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t>tel.: 566 688 185, 770 320 412, e-mail: vojtech.pokorny@zdarns.cz</w:t>
      </w:r>
    </w:p>
    <w:p>
      <w:pPr>
        <w:ind w:left="567"/>
        <w:rPr>
          <w:rFonts w:ascii="Calibri" w:hAnsi="Calibr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ind w:left="567"/>
        <w:rPr>
          <w:rFonts w:ascii="Calibri" w:hAnsi="Calibri"/>
          <w:color w:val="000000"/>
          <w:sz w:val="22"/>
          <w:szCs w:val="22"/>
        </w:rPr>
      </w:pPr>
      <w:r>
        <w:rPr>
          <w:rFonts w:ascii="Calibri" w:hAnsi="Calibri"/>
          <w:color w:val="000000"/>
          <w:sz w:val="22"/>
          <w:szCs w:val="22"/>
        </w:rPr>
        <w:t>a</w:t>
      </w:r>
    </w:p>
    <w:p>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Renovace umělého povrchu běžecké dráhy ZŠ Komenského 2</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Objednatel podal žádost o dotaci na financování Díla dle Smlouvy </w:t>
      </w:r>
      <w:r>
        <w:rPr>
          <w:rFonts w:asciiTheme="minorHAnsi" w:hAnsiTheme="minorHAnsi" w:cstheme="minorHAnsi"/>
          <w:sz w:val="22"/>
          <w:szCs w:val="22"/>
          <w:lang w:eastAsia="en-US" w:bidi="en-US"/>
        </w:rPr>
        <w:t xml:space="preserve">z </w:t>
      </w:r>
      <w:r>
        <w:rPr>
          <w:rFonts w:asciiTheme="minorHAnsi" w:hAnsiTheme="minorHAnsi" w:cstheme="minorHAnsi"/>
          <w:sz w:val="22"/>
          <w:szCs w:val="22"/>
        </w:rPr>
        <w:t xml:space="preserve">dotačního programu Kraje Vysočina – Fondu Vysočiny, programu </w:t>
      </w:r>
      <w:r>
        <w:rPr>
          <w:rFonts w:asciiTheme="minorHAnsi" w:hAnsiTheme="minorHAnsi" w:cstheme="minorHAnsi"/>
          <w:sz w:val="22"/>
          <w:szCs w:val="22"/>
          <w:lang w:bidi="en-US"/>
        </w:rPr>
        <w:t xml:space="preserve">SPORTOVIŠTĚ, KLUBOVNY A TÁBOROVÉ ZÁKLADNY 2026 </w:t>
      </w:r>
      <w:r>
        <w:rPr>
          <w:rFonts w:ascii="Calibri" w:hAnsi="Calibri"/>
          <w:sz w:val="22"/>
          <w:szCs w:val="22"/>
          <w:lang w:eastAsia="en-US" w:bidi="en-US"/>
        </w:rPr>
        <w:t>(dále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Řízení veřejné zakázky bylo realizováno v souladu s pravidly Programu. V případě poskytnutí dotace je Zhotovitel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Účelem Smlouvy je provést předmět této Smlouvy, kdy realizací tohoto předmětu Objednatel sleduje obnovu umělého povrchu běžecké dráhy, lokální opravy obrub a lokální opravy umělého povrchu běžecké dráhy</w:t>
      </w:r>
      <w:r>
        <w:rPr>
          <w:rFonts w:asciiTheme="minorHAnsi" w:hAnsiTheme="minorHAnsi" w:cstheme="minorHAnsi"/>
          <w:bCs/>
          <w:sz w:val="22"/>
          <w:szCs w:val="22"/>
          <w:lang w:bidi="en-US"/>
        </w:rPr>
        <w:t>.</w:t>
      </w: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r>
        <w:rPr>
          <w:rFonts w:asciiTheme="minorHAnsi" w:hAnsiTheme="minorHAnsi" w:cstheme="minorHAnsi"/>
          <w:bCs/>
          <w:sz w:val="22"/>
          <w:szCs w:val="22"/>
          <w:lang w:bidi="en-US"/>
        </w:rPr>
        <w:t>Sportovní hřiště při ZŠ Žďár nad Sázavou, Komenského 2,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lastRenderedPageBreak/>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rPr>
          <w:rFonts w:asciiTheme="minorHAnsi" w:hAnsiTheme="minorHAnsi" w:cstheme="minorHAnsi"/>
        </w:rPr>
      </w:pPr>
    </w:p>
    <w:p>
      <w:pPr>
        <w:numPr>
          <w:ilvl w:val="0"/>
          <w:numId w:val="3"/>
        </w:numPr>
        <w:jc w:val="both"/>
        <w:rPr>
          <w:rFonts w:ascii="Calibri" w:hAnsi="Calibri" w:cs="Calibri"/>
          <w:sz w:val="22"/>
          <w:szCs w:val="22"/>
        </w:rPr>
      </w:pPr>
      <w:r>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pPr>
        <w:jc w:val="both"/>
        <w:rPr>
          <w:rFonts w:ascii="Calibri" w:hAnsi="Calibri" w:cs="Calibri"/>
          <w:sz w:val="22"/>
          <w:szCs w:val="22"/>
        </w:rPr>
      </w:pPr>
    </w:p>
    <w:p>
      <w:pPr>
        <w:jc w:val="both"/>
        <w:rPr>
          <w:rFonts w:ascii="Calibri" w:hAnsi="Calibri" w:cs="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cs="Calibri"/>
          <w:sz w:val="22"/>
          <w:szCs w:val="22"/>
        </w:rPr>
        <w:t xml:space="preserve">Zhotovitel se zavazuje provést Dílo v souladu s veškerými dokumenty uvedenými v odst. </w:t>
      </w:r>
      <w:r>
        <w:rPr>
          <w:rFonts w:ascii="Calibri" w:hAnsi="Calibri" w:cs="Calibri"/>
          <w:sz w:val="22"/>
          <w:szCs w:val="22"/>
        </w:rPr>
        <w:fldChar w:fldCharType="begin"/>
      </w:r>
      <w:r>
        <w:rPr>
          <w:rFonts w:ascii="Calibri" w:hAnsi="Calibri" w:cs="Calibri"/>
          <w:sz w:val="22"/>
          <w:szCs w:val="22"/>
        </w:rPr>
        <w:instrText xml:space="preserve"> REF _Ref140137724 \r \h  \* MERGEFORMAT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Pr>
          <w:rFonts w:ascii="Calibri" w:hAnsi="Calibri"/>
          <w:sz w:val="22"/>
          <w:szCs w:val="22"/>
        </w:rPr>
        <w:t xml:space="preserve"> </w:t>
      </w:r>
    </w:p>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pPr>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4" w:name="_Ref203483196"/>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4"/>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5"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5"/>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Theme="minorHAnsi" w:hAnsiTheme="minorHAnsi" w:cstheme="minorHAnsi"/>
          <w:sz w:val="22"/>
          <w:szCs w:val="22"/>
        </w:rPr>
      </w:pPr>
    </w:p>
    <w:p>
      <w:pPr>
        <w:pStyle w:val="Nadpis1"/>
        <w:rPr>
          <w:szCs w:val="22"/>
        </w:rPr>
      </w:pPr>
      <w:r>
        <w:rPr>
          <w:szCs w:val="22"/>
        </w:rPr>
        <w:lastRenderedPageBreak/>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Místem provádění Díla je venkovní sportovní hřiště na parc.č. 1415 v k.ú. Město Žďár vedle sportovní haly na adrese Komenského 973/4, Žďár nad Sázavou, 591 01,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6" w:name="_Ref397341966"/>
      <w:r>
        <w:rPr>
          <w:rFonts w:ascii="Calibri" w:hAnsi="Calibri"/>
          <w:sz w:val="22"/>
          <w:szCs w:val="22"/>
        </w:rPr>
        <w:t>Dílo bude prováděno v následujících termínech:</w:t>
      </w:r>
      <w:bookmarkEnd w:id="6"/>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sz w:val="22"/>
          <w:szCs w:val="22"/>
          <w:lang w:eastAsia="en-US" w:bidi="en-US"/>
        </w:rPr>
        <w:t xml:space="preserve"> dnů ode dne převzetí staveniště Zhotovitelem v období od 29.června do 16.srpna</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14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dnů</w:t>
          </w:r>
        </w:sdtContent>
      </w:sdt>
      <w:r>
        <w:rPr>
          <w:sz w:val="22"/>
          <w:szCs w:val="22"/>
          <w:lang w:eastAsia="en-US" w:bidi="en-US"/>
        </w:rPr>
        <w:t xml:space="preserve"> ode dne převzetí staveniště Zhotovitelem.</w:t>
      </w:r>
    </w:p>
    <w:p>
      <w:pPr>
        <w:pStyle w:val="Odstavecseseznamem"/>
        <w:rPr>
          <w:rFonts w:ascii="Calibri" w:hAnsi="Calibri"/>
          <w:sz w:val="22"/>
          <w:szCs w:val="22"/>
        </w:rPr>
      </w:pPr>
      <w:bookmarkStart w:id="7" w:name="_Ref391889466"/>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27</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7"/>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8"/>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 dokončení stavby, která vyvolá změnu údajů v digitální technické mapě (dále jen „</w:t>
      </w:r>
      <w:r>
        <w:rPr>
          <w:rFonts w:asciiTheme="minorHAnsi" w:hAnsiTheme="minorHAnsi" w:cstheme="minorHAnsi"/>
          <w:b/>
          <w:bCs/>
          <w:sz w:val="22"/>
          <w:szCs w:val="22"/>
        </w:rPr>
        <w:t>DTM</w:t>
      </w:r>
      <w:r>
        <w:rPr>
          <w:rFonts w:asciiTheme="minorHAnsi" w:hAnsiTheme="minorHAnsi" w:cstheme="minorHAnsi"/>
          <w:sz w:val="22"/>
          <w:szCs w:val="22"/>
        </w:rPr>
        <w:t>“), Zhotovitel stavby zajistí její zaměření a zpracování pro změny základní prostorové situace (ZPS) ve formě Geodetického podkladu podle přílohy č. 4 k vyhlášce č. 393/2020 Sb., o digitální technické mapě kraje, ve znění pozdějších předpisů (dále jen „</w:t>
      </w:r>
      <w:r>
        <w:rPr>
          <w:rFonts w:asciiTheme="minorHAnsi" w:hAnsiTheme="minorHAnsi" w:cstheme="minorHAnsi"/>
          <w:b/>
          <w:bCs/>
          <w:sz w:val="22"/>
          <w:szCs w:val="22"/>
        </w:rPr>
        <w:t>Vyhláška o DTM</w:t>
      </w:r>
      <w:r>
        <w:rPr>
          <w:rFonts w:asciiTheme="minorHAnsi" w:hAnsiTheme="minorHAnsi" w:cstheme="minorHAnsi"/>
          <w:sz w:val="22"/>
          <w:szCs w:val="22"/>
        </w:rPr>
        <w:t xml:space="preserve">“). Ověřený </w:t>
      </w:r>
      <w:r>
        <w:rPr>
          <w:rFonts w:asciiTheme="minorHAnsi" w:hAnsiTheme="minorHAnsi" w:cstheme="minorHAnsi"/>
          <w:sz w:val="22"/>
          <w:szCs w:val="22"/>
        </w:rPr>
        <w:lastRenderedPageBreak/>
        <w:t>geodetický podklad v elektronické podobě, včetně identifikátoru změny o zápisu ZPS do DTM podle § 4b odst. 4 písm. b) zákona č. 200/1994 Sb., o zeměměřictví, ve znění pozdějších předpisů (dále jen „</w:t>
      </w:r>
      <w:r>
        <w:rPr>
          <w:rFonts w:asciiTheme="minorHAnsi" w:hAnsiTheme="minorHAnsi" w:cstheme="minorHAnsi"/>
          <w:b/>
          <w:bCs/>
          <w:sz w:val="22"/>
          <w:szCs w:val="22"/>
        </w:rPr>
        <w:t>ZemZ</w:t>
      </w:r>
      <w:r>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 </w:t>
      </w: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Elaborát DTI bude obsahovat: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Seznam souřadnic podrobných bodů ve formátu .txt</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Datovou sadu změnových souborů DTI v aktuální verzi JVF DTM, členěných podle Přílohy 1 Vyhlášky o DTM</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Výkres ve formátech .shp a .pdf</w:t>
      </w:r>
    </w:p>
    <w:p>
      <w:pPr>
        <w:pStyle w:val="Odstavecseseznamem"/>
        <w:numPr>
          <w:ilvl w:val="1"/>
          <w:numId w:val="3"/>
        </w:numPr>
        <w:jc w:val="both"/>
        <w:rPr>
          <w:rFonts w:asciiTheme="minorHAnsi" w:hAnsiTheme="minorHAnsi" w:cstheme="minorHAnsi"/>
          <w:sz w:val="22"/>
          <w:szCs w:val="22"/>
        </w:rPr>
      </w:pPr>
      <w:r>
        <w:rPr>
          <w:rFonts w:asciiTheme="minorHAnsi" w:hAnsiTheme="minorHAnsi" w:cstheme="minorHAnsi"/>
          <w:sz w:val="22"/>
          <w:szCs w:val="22"/>
        </w:rPr>
        <w:t>Technickou zprávu ověřenou AZI ve formátu .pdf</w:t>
      </w:r>
    </w:p>
    <w:p>
      <w:pPr>
        <w:jc w:val="both"/>
        <w:rPr>
          <w:rFonts w:asciiTheme="minorHAnsi" w:hAnsiTheme="minorHAnsi" w:cstheme="minorHAnsi"/>
          <w:sz w:val="22"/>
          <w:szCs w:val="22"/>
        </w:rPr>
      </w:pPr>
    </w:p>
    <w:p>
      <w:pPr>
        <w:pStyle w:val="Odstavecseseznamem"/>
        <w:numPr>
          <w:ilvl w:val="0"/>
          <w:numId w:val="3"/>
        </w:numPr>
        <w:jc w:val="both"/>
        <w:rPr>
          <w:rStyle w:val="normaltextrun"/>
          <w:rFonts w:asciiTheme="minorHAnsi" w:hAnsiTheme="minorHAnsi" w:cstheme="minorHAnsi"/>
          <w:sz w:val="22"/>
          <w:szCs w:val="22"/>
        </w:rPr>
      </w:pPr>
      <w:bookmarkStart w:id="9" w:name="_Hlk203480527"/>
      <w:r>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.pdf, dále ve 4 vyhotoveních ověřený a potvrzený v listinné podobě a dále grafickou část geometrického plánu ve formátu .dgn.</w:t>
      </w:r>
      <w:bookmarkEnd w:id="9"/>
    </w:p>
    <w:p>
      <w:pPr>
        <w:jc w:val="both"/>
        <w:rPr>
          <w:rStyle w:val="normaltextrun"/>
          <w:rFonts w:asciiTheme="minorHAnsi" w:hAnsiTheme="minorHAnsi" w:cstheme="minorHAnsi"/>
          <w:sz w:val="22"/>
          <w:szCs w:val="22"/>
        </w:rPr>
      </w:pPr>
    </w:p>
    <w:p>
      <w:pPr>
        <w:pStyle w:val="Odstavecseseznamem"/>
        <w:numPr>
          <w:ilvl w:val="0"/>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Zhotovitel zajistí pro potřeby digitální technické mapy města (dále jen „</w:t>
      </w:r>
      <w:r>
        <w:rPr>
          <w:rStyle w:val="normaltextrun"/>
          <w:rFonts w:asciiTheme="minorHAnsi" w:hAnsiTheme="minorHAnsi" w:cstheme="minorHAnsi"/>
          <w:b/>
          <w:bCs/>
          <w:color w:val="000000"/>
          <w:sz w:val="22"/>
          <w:szCs w:val="22"/>
          <w:shd w:val="clear" w:color="auto" w:fill="FFFFFF"/>
        </w:rPr>
        <w:t>DTMM</w:t>
      </w:r>
      <w:r>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objekty inženýrských sítí,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mobiliář, </w:t>
      </w:r>
    </w:p>
    <w:p>
      <w:pPr>
        <w:pStyle w:val="Odstavecseseznamem"/>
        <w:numPr>
          <w:ilvl w:val="1"/>
          <w:numId w:val="3"/>
        </w:numPr>
        <w:jc w:val="both"/>
        <w:rPr>
          <w:rStyle w:val="normaltextrun"/>
          <w:rFonts w:ascii="Calibri" w:hAnsi="Calibri" w:cs="Calibri"/>
          <w:sz w:val="22"/>
          <w:szCs w:val="22"/>
        </w:rPr>
      </w:pPr>
      <w:r>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pPr>
        <w:pStyle w:val="Odstavecseseznamem"/>
        <w:ind w:left="567"/>
        <w:jc w:val="both"/>
        <w:rPr>
          <w:rFonts w:ascii="Calibri" w:hAnsi="Calibri"/>
          <w:sz w:val="22"/>
          <w:szCs w:val="22"/>
        </w:rPr>
      </w:pPr>
      <w:r>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Pr>
          <w:rStyle w:val="normaltextrun"/>
          <w:rFonts w:asciiTheme="minorHAnsi" w:hAnsiTheme="minorHAnsi" w:cstheme="minorHAnsi"/>
          <w:color w:val="D13438"/>
          <w:u w:val="single"/>
          <w:shd w:val="clear" w:color="auto" w:fill="FFFFFF"/>
        </w:rPr>
        <w:t xml:space="preserve"> </w:t>
      </w:r>
      <w:r>
        <w:rPr>
          <w:rStyle w:val="normaltextrun"/>
          <w:rFonts w:asciiTheme="minorHAnsi" w:hAnsiTheme="minorHAnsi" w:cstheme="minorHAnsi"/>
          <w:color w:val="000000"/>
          <w:sz w:val="22"/>
          <w:szCs w:val="22"/>
          <w:shd w:val="clear" w:color="auto" w:fill="FFFFFF"/>
        </w:rPr>
        <w:t>Zhotovitel předá zpracované zaměření v elektronické podobě ve formátu .pdf, .dgn, .dwg, .shp. a technickou zprávu ověřenou AZI v elektronické podobě ve formátu .pdf</w:t>
      </w:r>
      <w:r>
        <w:rPr>
          <w:rStyle w:val="normaltextrun"/>
          <w:rFonts w:asciiTheme="minorHAnsi" w:hAnsiTheme="minorHAnsi" w:cstheme="minorHAnsi"/>
          <w:color w:val="D13438"/>
          <w:sz w:val="22"/>
          <w:szCs w:val="22"/>
          <w:u w:val="single"/>
          <w:shd w:val="clear" w:color="auto" w:fill="FFFFFF"/>
        </w:rPr>
        <w:t xml:space="preserve"> </w:t>
      </w:r>
      <w:r>
        <w:rPr>
          <w:rStyle w:val="normaltextrun"/>
          <w:rFonts w:asciiTheme="minorHAnsi" w:hAnsiTheme="minorHAnsi" w:cstheme="minorHAnsi"/>
          <w:color w:val="000000"/>
          <w:sz w:val="22"/>
          <w:szCs w:val="22"/>
          <w:shd w:val="clear" w:color="auto" w:fill="FFFFFF"/>
        </w:rPr>
        <w:t>a 2 vyhotovení v podobě listinné.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0"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0"/>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lastRenderedPageBreak/>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1"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1"/>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37</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2" w:name="_Toc305061156"/>
      <w:bookmarkStart w:id="13"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2"/>
      <w:bookmarkEnd w:id="13"/>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4" w:name="_Toc305060862"/>
      <w:bookmarkStart w:id="15"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4"/>
      <w:bookmarkEnd w:id="15"/>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nese odpovědnost za veškeré škody vzniklé v důsledku činnosti či opomenutí Zhotovitele nebo jeho poddodavatelů při plnění Smlouvy nebo v souvislosti s jejím plněním, </w:t>
      </w:r>
      <w:r>
        <w:rPr>
          <w:rFonts w:ascii="Calibri" w:hAnsi="Calibri"/>
          <w:sz w:val="22"/>
          <w:szCs w:val="22"/>
        </w:rPr>
        <w:lastRenderedPageBreak/>
        <w:t>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16" w:name="_Toc305061165"/>
      <w:bookmarkStart w:id="17"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6"/>
      <w:bookmarkEnd w:id="17"/>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8"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9" w:name="_Toc305061176"/>
      <w:bookmarkStart w:id="20"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8"/>
      <w:bookmarkEnd w:id="19"/>
      <w:bookmarkEnd w:id="20"/>
    </w:p>
    <w:p>
      <w:pPr>
        <w:jc w:val="both"/>
        <w:rPr>
          <w:rFonts w:ascii="Calibri" w:hAnsi="Calibri"/>
          <w:sz w:val="22"/>
          <w:szCs w:val="22"/>
        </w:rPr>
      </w:pPr>
    </w:p>
    <w:p>
      <w:pPr>
        <w:pStyle w:val="Nadpis1"/>
        <w:rPr>
          <w:szCs w:val="22"/>
        </w:rPr>
      </w:pPr>
      <w:bookmarkStart w:id="21" w:name="_Toc383117513"/>
      <w:r>
        <w:rPr>
          <w:szCs w:val="22"/>
        </w:rPr>
        <w:t>NAKLÁDÁNÍ S ODPADY</w:t>
      </w:r>
    </w:p>
    <w:p>
      <w:pPr>
        <w:rPr>
          <w:rFonts w:ascii="Calibri" w:hAnsi="Calibri" w:cs="Calibri"/>
          <w:sz w:val="22"/>
          <w:szCs w:val="22"/>
          <w:lang w:eastAsia="ar-SA"/>
        </w:rPr>
      </w:pPr>
    </w:p>
    <w:p>
      <w:pPr>
        <w:numPr>
          <w:ilvl w:val="0"/>
          <w:numId w:val="3"/>
        </w:numPr>
        <w:jc w:val="both"/>
        <w:rPr>
          <w:rFonts w:ascii="Calibri" w:hAnsi="Calibri"/>
          <w:sz w:val="22"/>
          <w:szCs w:val="22"/>
        </w:rPr>
      </w:pPr>
      <w:r>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Náklady spojené s tříděním, přepravou a odevzdáním těchto odpadů nese Zhotovitel.</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Jedná se o následující druhy odpadů dle Katalogu odpadů:</w:t>
      </w:r>
    </w:p>
    <w:p>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tc>
          <w:tcPr>
            <w:tcW w:w="4531" w:type="dxa"/>
          </w:tcPr>
          <w:p>
            <w:pPr>
              <w:jc w:val="both"/>
              <w:rPr>
                <w:rFonts w:ascii="Calibri" w:hAnsi="Calibri"/>
                <w:b/>
                <w:bCs/>
                <w:sz w:val="22"/>
                <w:szCs w:val="22"/>
              </w:rPr>
            </w:pPr>
            <w:r>
              <w:rPr>
                <w:rFonts w:ascii="Calibri" w:hAnsi="Calibri"/>
                <w:b/>
                <w:bCs/>
                <w:sz w:val="22"/>
                <w:szCs w:val="22"/>
              </w:rPr>
              <w:t>Katalogové číslo</w:t>
            </w:r>
          </w:p>
        </w:tc>
        <w:tc>
          <w:tcPr>
            <w:tcW w:w="4531" w:type="dxa"/>
          </w:tcPr>
          <w:p>
            <w:pPr>
              <w:jc w:val="both"/>
              <w:rPr>
                <w:rFonts w:ascii="Calibri" w:hAnsi="Calibri"/>
                <w:b/>
                <w:bCs/>
                <w:sz w:val="22"/>
                <w:szCs w:val="22"/>
              </w:rPr>
            </w:pPr>
            <w:r>
              <w:rPr>
                <w:rFonts w:ascii="Calibri" w:hAnsi="Calibri"/>
                <w:b/>
                <w:bCs/>
                <w:sz w:val="22"/>
                <w:szCs w:val="22"/>
              </w:rPr>
              <w:t>Druh odpadu</w:t>
            </w:r>
          </w:p>
        </w:tc>
      </w:tr>
      <w:tr>
        <w:tc>
          <w:tcPr>
            <w:tcW w:w="4531" w:type="dxa"/>
          </w:tcPr>
          <w:p>
            <w:pPr>
              <w:jc w:val="both"/>
              <w:rPr>
                <w:rFonts w:ascii="Calibri" w:hAnsi="Calibri"/>
                <w:sz w:val="22"/>
                <w:szCs w:val="22"/>
              </w:rPr>
            </w:pPr>
            <w:r>
              <w:rPr>
                <w:rFonts w:ascii="Calibri" w:hAnsi="Calibri"/>
                <w:sz w:val="22"/>
                <w:szCs w:val="22"/>
              </w:rPr>
              <w:t>20 01 01</w:t>
            </w:r>
          </w:p>
        </w:tc>
        <w:tc>
          <w:tcPr>
            <w:tcW w:w="4531" w:type="dxa"/>
          </w:tcPr>
          <w:p>
            <w:pPr>
              <w:jc w:val="both"/>
              <w:rPr>
                <w:rFonts w:ascii="Calibri" w:hAnsi="Calibri"/>
                <w:sz w:val="22"/>
                <w:szCs w:val="22"/>
              </w:rPr>
            </w:pPr>
            <w:r>
              <w:rPr>
                <w:rFonts w:ascii="Calibri" w:hAnsi="Calibri"/>
                <w:sz w:val="22"/>
                <w:szCs w:val="22"/>
              </w:rPr>
              <w:t>Papír a lepenka</w:t>
            </w:r>
          </w:p>
        </w:tc>
      </w:tr>
      <w:tr>
        <w:tc>
          <w:tcPr>
            <w:tcW w:w="4531" w:type="dxa"/>
          </w:tcPr>
          <w:p>
            <w:pPr>
              <w:jc w:val="both"/>
              <w:rPr>
                <w:rFonts w:ascii="Calibri" w:hAnsi="Calibri"/>
                <w:sz w:val="22"/>
                <w:szCs w:val="22"/>
              </w:rPr>
            </w:pPr>
            <w:r>
              <w:rPr>
                <w:rFonts w:ascii="Calibri" w:hAnsi="Calibri"/>
                <w:sz w:val="22"/>
                <w:szCs w:val="22"/>
              </w:rPr>
              <w:t>20 01 02</w:t>
            </w:r>
          </w:p>
        </w:tc>
        <w:tc>
          <w:tcPr>
            <w:tcW w:w="4531" w:type="dxa"/>
          </w:tcPr>
          <w:p>
            <w:pPr>
              <w:jc w:val="both"/>
              <w:rPr>
                <w:rFonts w:ascii="Calibri" w:hAnsi="Calibri"/>
                <w:sz w:val="22"/>
                <w:szCs w:val="22"/>
              </w:rPr>
            </w:pPr>
            <w:r>
              <w:rPr>
                <w:rFonts w:ascii="Calibri" w:hAnsi="Calibri"/>
                <w:sz w:val="22"/>
                <w:szCs w:val="22"/>
              </w:rPr>
              <w:t>Sklo</w:t>
            </w:r>
          </w:p>
        </w:tc>
      </w:tr>
      <w:tr>
        <w:tc>
          <w:tcPr>
            <w:tcW w:w="4531" w:type="dxa"/>
          </w:tcPr>
          <w:p>
            <w:pPr>
              <w:jc w:val="both"/>
              <w:rPr>
                <w:rFonts w:ascii="Calibri" w:hAnsi="Calibri"/>
                <w:sz w:val="22"/>
                <w:szCs w:val="22"/>
              </w:rPr>
            </w:pPr>
            <w:r>
              <w:rPr>
                <w:rFonts w:ascii="Calibri" w:hAnsi="Calibri"/>
                <w:sz w:val="22"/>
                <w:szCs w:val="22"/>
              </w:rPr>
              <w:t>20 01 38</w:t>
            </w:r>
          </w:p>
        </w:tc>
        <w:tc>
          <w:tcPr>
            <w:tcW w:w="4531" w:type="dxa"/>
          </w:tcPr>
          <w:p>
            <w:pPr>
              <w:jc w:val="both"/>
              <w:rPr>
                <w:rFonts w:ascii="Calibri" w:hAnsi="Calibri"/>
                <w:sz w:val="22"/>
                <w:szCs w:val="22"/>
              </w:rPr>
            </w:pPr>
            <w:r>
              <w:rPr>
                <w:rFonts w:ascii="Calibri" w:hAnsi="Calibri"/>
                <w:sz w:val="22"/>
                <w:szCs w:val="22"/>
              </w:rPr>
              <w:t>Dřevo</w:t>
            </w:r>
          </w:p>
        </w:tc>
      </w:tr>
      <w:tr>
        <w:tc>
          <w:tcPr>
            <w:tcW w:w="4531" w:type="dxa"/>
          </w:tcPr>
          <w:p>
            <w:pPr>
              <w:jc w:val="both"/>
              <w:rPr>
                <w:rFonts w:ascii="Calibri" w:hAnsi="Calibri"/>
                <w:sz w:val="22"/>
                <w:szCs w:val="22"/>
              </w:rPr>
            </w:pPr>
            <w:r>
              <w:rPr>
                <w:rFonts w:ascii="Calibri" w:hAnsi="Calibri"/>
                <w:sz w:val="22"/>
                <w:szCs w:val="22"/>
              </w:rPr>
              <w:t>20 01 39</w:t>
            </w:r>
          </w:p>
        </w:tc>
        <w:tc>
          <w:tcPr>
            <w:tcW w:w="4531" w:type="dxa"/>
          </w:tcPr>
          <w:p>
            <w:pPr>
              <w:jc w:val="both"/>
              <w:rPr>
                <w:rFonts w:ascii="Calibri" w:hAnsi="Calibri"/>
                <w:sz w:val="22"/>
                <w:szCs w:val="22"/>
              </w:rPr>
            </w:pPr>
            <w:r>
              <w:rPr>
                <w:rFonts w:ascii="Calibri" w:hAnsi="Calibri"/>
                <w:sz w:val="22"/>
                <w:szCs w:val="22"/>
              </w:rPr>
              <w:t>Plasty</w:t>
            </w:r>
          </w:p>
        </w:tc>
      </w:tr>
      <w:tr>
        <w:tc>
          <w:tcPr>
            <w:tcW w:w="4531" w:type="dxa"/>
          </w:tcPr>
          <w:p>
            <w:pPr>
              <w:jc w:val="both"/>
              <w:rPr>
                <w:rFonts w:ascii="Calibri" w:hAnsi="Calibri"/>
                <w:sz w:val="22"/>
                <w:szCs w:val="22"/>
              </w:rPr>
            </w:pPr>
            <w:r>
              <w:rPr>
                <w:rFonts w:ascii="Calibri" w:hAnsi="Calibri"/>
                <w:sz w:val="22"/>
                <w:szCs w:val="22"/>
              </w:rPr>
              <w:t>20 01 40</w:t>
            </w:r>
          </w:p>
        </w:tc>
        <w:tc>
          <w:tcPr>
            <w:tcW w:w="4531" w:type="dxa"/>
          </w:tcPr>
          <w:p>
            <w:pPr>
              <w:jc w:val="both"/>
              <w:rPr>
                <w:rFonts w:ascii="Calibri" w:hAnsi="Calibri"/>
                <w:sz w:val="22"/>
                <w:szCs w:val="22"/>
              </w:rPr>
            </w:pPr>
            <w:r>
              <w:rPr>
                <w:rFonts w:ascii="Calibri" w:hAnsi="Calibri"/>
                <w:sz w:val="22"/>
                <w:szCs w:val="22"/>
              </w:rPr>
              <w:t>Kovy</w:t>
            </w:r>
          </w:p>
        </w:tc>
      </w:tr>
      <w:tr>
        <w:tc>
          <w:tcPr>
            <w:tcW w:w="4531" w:type="dxa"/>
          </w:tcPr>
          <w:p>
            <w:pPr>
              <w:jc w:val="both"/>
              <w:rPr>
                <w:rFonts w:ascii="Calibri" w:hAnsi="Calibri"/>
                <w:sz w:val="22"/>
                <w:szCs w:val="22"/>
              </w:rPr>
            </w:pPr>
            <w:r>
              <w:rPr>
                <w:rFonts w:ascii="Calibri" w:hAnsi="Calibri"/>
                <w:sz w:val="22"/>
                <w:szCs w:val="22"/>
              </w:rPr>
              <w:t>20 02 01</w:t>
            </w:r>
          </w:p>
        </w:tc>
        <w:tc>
          <w:tcPr>
            <w:tcW w:w="4531" w:type="dxa"/>
          </w:tcPr>
          <w:p>
            <w:pPr>
              <w:jc w:val="both"/>
              <w:rPr>
                <w:rFonts w:ascii="Calibri" w:hAnsi="Calibri"/>
                <w:sz w:val="22"/>
                <w:szCs w:val="22"/>
              </w:rPr>
            </w:pPr>
            <w:r>
              <w:rPr>
                <w:rFonts w:ascii="Calibri" w:hAnsi="Calibri"/>
                <w:sz w:val="22"/>
                <w:szCs w:val="22"/>
              </w:rPr>
              <w:t>Biologicky rozložitelný odpad</w:t>
            </w:r>
          </w:p>
        </w:tc>
      </w:tr>
    </w:tbl>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pPr>
        <w:rPr>
          <w:rFonts w:ascii="Calibri" w:hAnsi="Calibri" w:cs="Calibri"/>
          <w:sz w:val="22"/>
          <w:szCs w:val="22"/>
          <w:lang w:eastAsia="ar-SA"/>
        </w:rPr>
      </w:pPr>
    </w:p>
    <w:p>
      <w:pPr>
        <w:pStyle w:val="Nadpis1"/>
        <w:rPr>
          <w:szCs w:val="22"/>
        </w:rPr>
      </w:pPr>
      <w:r>
        <w:rPr>
          <w:szCs w:val="22"/>
        </w:rPr>
        <w:t>CENA</w:t>
      </w:r>
      <w:bookmarkEnd w:id="21"/>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lastRenderedPageBreak/>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t>provést bez zbytečného odkladu přesný soupis všech víceprací, které je nutné provést, včetně jejich ocenění, uvedení souvisejících změn Smlouvy, důvodů a okolností vedoucích k nutnosti změny Ceny Díla a k nutnosti souvisejících změn Smlouvy ve smyslu ust.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CZ a.s." w:value="ÚRS CZ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lastRenderedPageBreak/>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r>
        <w:rPr>
          <w:rFonts w:ascii="Calibri" w:eastAsiaTheme="minorHAnsi" w:hAnsi="Calibri" w:cs="Calibri"/>
          <w:b/>
          <w:bCs/>
          <w:i/>
          <w:iCs/>
          <w:sz w:val="22"/>
          <w:szCs w:val="22"/>
        </w:rPr>
        <w:t>ZoDPH</w:t>
      </w:r>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ind w:left="567"/>
        <w:jc w:val="both"/>
        <w:rPr>
          <w:rFonts w:ascii="Calibri" w:hAnsi="Calibri"/>
          <w:sz w:val="22"/>
          <w:szCs w:val="22"/>
        </w:rPr>
      </w:pPr>
      <w:r>
        <w:rPr>
          <w:rFonts w:ascii="Calibri" w:hAnsi="Calibri"/>
          <w:sz w:val="22"/>
          <w:szCs w:val="22"/>
        </w:rPr>
        <w:t>V případě poskytnutí dotace musí Faktura dále splňovat požadavky stanovené podmínkami pro poskytnutí dotace z Programu, zejména musí být označena příslušným názvem a číslem projektu.</w:t>
      </w:r>
    </w:p>
    <w:p>
      <w:pPr>
        <w:ind w:left="567"/>
        <w:jc w:val="both"/>
        <w:rPr>
          <w:rFonts w:ascii="Calibri" w:hAnsi="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ZoDPH režim přenesení daňové povinnosti. DPH tak není součástí ceny Díla.</w:t>
      </w:r>
    </w:p>
    <w:p>
      <w:pPr>
        <w:pStyle w:val="Psmeno"/>
        <w:numPr>
          <w:ilvl w:val="0"/>
          <w:numId w:val="0"/>
        </w:numPr>
        <w:spacing w:after="0" w:line="240" w:lineRule="auto"/>
        <w:ind w:left="567"/>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*.xls a *.pdf.</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lastRenderedPageBreak/>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rPr>
          <w:rFonts w:ascii="Calibri" w:hAnsi="Calibri"/>
          <w:color w:val="000000"/>
          <w:sz w:val="22"/>
          <w:szCs w:val="22"/>
        </w:rPr>
      </w:pPr>
    </w:p>
    <w:p>
      <w:pPr>
        <w:numPr>
          <w:ilvl w:val="0"/>
          <w:numId w:val="3"/>
        </w:numPr>
        <w:jc w:val="both"/>
        <w:rPr>
          <w:rFonts w:ascii="Calibri" w:hAnsi="Calibri"/>
          <w:color w:val="000000"/>
          <w:sz w:val="22"/>
          <w:szCs w:val="22"/>
        </w:rPr>
      </w:pPr>
      <w:r>
        <w:rPr>
          <w:rFonts w:ascii="Calibri" w:hAnsi="Calibri"/>
          <w:color w:val="000000" w:themeColor="text1"/>
          <w:sz w:val="22"/>
          <w:szCs w:val="22"/>
        </w:rPr>
        <w:t>Faktura bude obsahovat číslo této Smlouvy a bude, po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48</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2"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2"/>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3"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3"/>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24" w:name="_Ref140140623"/>
      <w:r>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24"/>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w:t>
      </w:r>
      <w:r>
        <w:rPr>
          <w:rFonts w:ascii="Calibri" w:hAnsi="Calibri"/>
          <w:sz w:val="22"/>
          <w:szCs w:val="22"/>
        </w:rPr>
        <w:fldChar w:fldCharType="end"/>
      </w:r>
      <w:r>
        <w:rPr>
          <w:rFonts w:ascii="Calibri" w:hAnsi="Calibri"/>
          <w:sz w:val="22"/>
          <w:szCs w:val="22"/>
        </w:rPr>
        <w:t>6 Smlouvy, či po uplynutí záruční doby, pokud byly způsobeny porušením jeho povinností.</w:t>
      </w:r>
    </w:p>
    <w:p>
      <w:pPr>
        <w:pStyle w:val="Odstavecseseznamem"/>
        <w:rPr>
          <w:rFonts w:ascii="Calibri" w:hAnsi="Calibri"/>
          <w:sz w:val="22"/>
          <w:szCs w:val="22"/>
        </w:rPr>
      </w:pPr>
    </w:p>
    <w:p>
      <w:pPr>
        <w:jc w:val="both"/>
        <w:rPr>
          <w:rFonts w:ascii="Calibri" w:hAnsi="Calibri"/>
          <w:sz w:val="22"/>
          <w:szCs w:val="22"/>
        </w:rPr>
      </w:pPr>
    </w:p>
    <w:p>
      <w:pPr>
        <w:pStyle w:val="Nadpis1"/>
      </w:pPr>
      <w:r>
        <w:lastRenderedPageBreak/>
        <w:t>POJIŠTĚNÍ</w:t>
      </w:r>
    </w:p>
    <w:p>
      <w:pPr>
        <w:keepNext/>
        <w:rPr>
          <w:rFonts w:ascii="Calibri" w:hAnsi="Calibri"/>
          <w:sz w:val="22"/>
          <w:szCs w:val="22"/>
          <w:lang w:eastAsia="ar-SA"/>
        </w:rPr>
      </w:pPr>
    </w:p>
    <w:p>
      <w:pPr>
        <w:numPr>
          <w:ilvl w:val="0"/>
          <w:numId w:val="3"/>
        </w:numPr>
        <w:jc w:val="both"/>
        <w:rPr>
          <w:rFonts w:ascii="Calibri" w:hAnsi="Calibri"/>
          <w:sz w:val="22"/>
          <w:szCs w:val="22"/>
          <w:lang w:eastAsia="ar-SA"/>
        </w:rPr>
      </w:pPr>
      <w:bookmarkStart w:id="25" w:name="_Ref391989464"/>
      <w:r>
        <w:rPr>
          <w:rFonts w:ascii="Calibri" w:hAnsi="Calibri"/>
          <w:sz w:val="22"/>
          <w:szCs w:val="22"/>
          <w:lang w:eastAsia="ar-SA"/>
        </w:rPr>
        <w:t xml:space="preserve">Zhotovitel se </w:t>
      </w:r>
      <w:r>
        <w:rPr>
          <w:rFonts w:ascii="Calibri" w:hAnsi="Calibri"/>
          <w:sz w:val="22"/>
          <w:szCs w:val="22"/>
        </w:rPr>
        <w:t>zavazuje</w:t>
      </w:r>
      <w:r>
        <w:rPr>
          <w:rFonts w:ascii="Calibri" w:hAnsi="Calibri"/>
          <w:sz w:val="22"/>
          <w:szCs w:val="22"/>
          <w:lang w:eastAsia="ar-SA"/>
        </w:rPr>
        <w:t>,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včetně DPH. V případě, že Smlouvu uzavřelo na straně Zhotovitele více osob (členů sdružení, členů společnosti, apod.), musí pojistná smlouva prokazatelně pokrývat případnou škodu způsobenou kteroukoli z těchto osob.</w:t>
      </w:r>
      <w:bookmarkEnd w:id="25"/>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26" w:name="_Ref391989475"/>
      <w:r>
        <w:rPr>
          <w:rFonts w:ascii="Calibri" w:hAnsi="Calibri"/>
          <w:sz w:val="22"/>
          <w:szCs w:val="22"/>
          <w:lang w:eastAsia="ar-SA"/>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sz w:val="22"/>
          <w:szCs w:val="22"/>
          <w:lang w:eastAsia="ar-SA"/>
        </w:rPr>
        <w:t>Zhotovitel i Objednatel se zavazují uplatnit pojistnou událost u pojišťovny bez zbytečného odkladu.</w:t>
      </w:r>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sz w:val="22"/>
          <w:szCs w:val="22"/>
          <w:lang w:eastAsia="ar-SA"/>
        </w:rPr>
        <w:t>Platí, že pokud Zhotovitel řádně a včas neuzavře nebo nebude udržovat v účinnosti pojištění požadované Smlouvou, jedná se o podstatné porušení Smlouvy.</w:t>
      </w:r>
    </w:p>
    <w:p>
      <w:pPr>
        <w:jc w:val="both"/>
        <w:rPr>
          <w:rFonts w:ascii="Calibri" w:hAnsi="Calibri"/>
          <w:sz w:val="22"/>
          <w:szCs w:val="22"/>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Zhotovitel povinen uhradit Objednateli smluvní pokutu ve výši 0,1 % ze sjednané Ceny Díla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r>
        <w:rPr>
          <w:rFonts w:asciiTheme="minorHAnsi" w:hAnsiTheme="minorHAnsi" w:cstheme="minorHAnsi"/>
          <w:sz w:val="22"/>
          <w:szCs w:val="22"/>
          <w:lang w:bidi="en-US"/>
        </w:rPr>
        <w:t>1.000</w:t>
      </w:r>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w:t>
      </w:r>
      <w:r>
        <w:rPr>
          <w:rFonts w:ascii="Calibri" w:hAnsi="Calibri"/>
          <w:sz w:val="22"/>
          <w:szCs w:val="22"/>
        </w:rPr>
        <w:fldChar w:fldCharType="end"/>
      </w:r>
      <w:r>
        <w:rPr>
          <w:rFonts w:ascii="Calibri" w:hAnsi="Calibri"/>
          <w:sz w:val="22"/>
          <w:szCs w:val="22"/>
        </w:rPr>
        <w:t xml:space="preserve">7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53</w:t>
      </w:r>
      <w:r>
        <w:rPr>
          <w:rFonts w:ascii="Calibri" w:hAnsi="Calibri"/>
          <w:sz w:val="22"/>
          <w:szCs w:val="22"/>
        </w:rPr>
        <w:fldChar w:fldCharType="end"/>
      </w:r>
      <w:r>
        <w:rPr>
          <w:rFonts w:ascii="Calibri" w:hAnsi="Calibri"/>
          <w:sz w:val="22"/>
          <w:szCs w:val="22"/>
        </w:rPr>
        <w:t xml:space="preserve">, je povinen uhradit Objednateli smluvní pokutu ve výši </w:t>
      </w:r>
      <w:r>
        <w:rPr>
          <w:rFonts w:asciiTheme="minorHAnsi" w:hAnsiTheme="minorHAnsi" w:cstheme="minorHAnsi"/>
          <w:sz w:val="22"/>
          <w:szCs w:val="22"/>
          <w:lang w:bidi="en-US"/>
        </w:rPr>
        <w:t>0,1 %</w:t>
      </w:r>
      <w:r>
        <w:rPr>
          <w:rFonts w:ascii="Calibri" w:hAnsi="Calibri"/>
          <w:sz w:val="22"/>
          <w:szCs w:val="22"/>
        </w:rPr>
        <w:t xml:space="preserve"> ze sjednané Ceny Díla za každý den prodlení.</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r>
        <w:rPr>
          <w:rFonts w:ascii="Calibri" w:hAnsi="Calibri"/>
          <w:sz w:val="22"/>
          <w:szCs w:val="22"/>
        </w:rPr>
        <w:t>25.000,-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5.000,-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r>
        <w:rPr>
          <w:rFonts w:ascii="Calibri" w:hAnsi="Calibri"/>
          <w:sz w:val="22"/>
          <w:szCs w:val="22"/>
        </w:rPr>
        <w:t>10.000,- Kč za každý započatý den prodlení s odstraněním závady, která by mohla vést k porušení předpisů BOZP nebo PO, počínaje dnem upozornění Objednatele na závadu až do dne jejího odstranění.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Poruší-li Zhotovitel povinnost dle odstavce </w:t>
      </w:r>
      <w:r>
        <w:rPr>
          <w:rFonts w:ascii="Calibri" w:hAnsi="Calibri"/>
          <w:sz w:val="22"/>
          <w:szCs w:val="22"/>
        </w:rPr>
        <w:fldChar w:fldCharType="begin"/>
      </w:r>
      <w:r>
        <w:rPr>
          <w:rFonts w:ascii="Calibri" w:hAnsi="Calibri"/>
          <w:sz w:val="22"/>
          <w:szCs w:val="22"/>
        </w:rPr>
        <w:instrText xml:space="preserve"> REF _Ref203483196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16</w:t>
      </w:r>
      <w:r>
        <w:rPr>
          <w:rFonts w:ascii="Calibri" w:hAnsi="Calibri"/>
          <w:sz w:val="22"/>
          <w:szCs w:val="22"/>
        </w:rPr>
        <w:fldChar w:fldCharType="end"/>
      </w:r>
      <w:r>
        <w:rPr>
          <w:rFonts w:ascii="Calibri" w:hAnsi="Calibri"/>
          <w:sz w:val="22"/>
          <w:szCs w:val="22"/>
        </w:rPr>
        <w:t xml:space="preserve">, je povinen uhradit Objednateli smluvní pokutu ve výši 5.000,-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8" w:history="1">
        <w:r>
          <w:t>https://ocenovanidrevin.nature.cz</w:t>
        </w:r>
      </w:hyperlink>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pPr>
        <w:jc w:val="both"/>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V případě poskytnutí dotace poruší-li nebo způsobí-li Zhotovitel svým jednáním porušení jakéhokoliv požadavku stanoveného v podmínkách pro poskytnutí dotace z Programu, je Zhotovitel povinen zaplatit Objednateli smluvní pokutu ve výši 2.000,- Kč za každý zjištěný případ porušení této povinnosti.</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122</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xml:space="preserve">, vyzval ke zjednání nápravy a Zhotovitel nezjednal nápravu ani v přiměřené lhůtě; právo Objednatele odstoupit od Smlouvy dle tohoto bodu zaniká, pokud oznámení o odstoupení od Smlouvy nedoručí </w:t>
      </w:r>
      <w:r>
        <w:rPr>
          <w:rFonts w:asciiTheme="minorHAnsi" w:hAnsiTheme="minorHAnsi" w:cstheme="minorHAnsi"/>
          <w:sz w:val="22"/>
          <w:szCs w:val="22"/>
        </w:rPr>
        <w:lastRenderedPageBreak/>
        <w:t>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119</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27"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42</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7"/>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28" w:name="_Toc383117526"/>
      <w:r>
        <w:rPr>
          <w:szCs w:val="22"/>
        </w:rPr>
        <w:t>OSTATNÍ UJEDNÁNÍ</w:t>
      </w:r>
      <w:bookmarkEnd w:id="28"/>
    </w:p>
    <w:p>
      <w:pPr>
        <w:rPr>
          <w:lang w:eastAsia="ar-SA"/>
        </w:rPr>
      </w:pPr>
    </w:p>
    <w:p>
      <w:pPr>
        <w:numPr>
          <w:ilvl w:val="0"/>
          <w:numId w:val="3"/>
        </w:numPr>
        <w:jc w:val="both"/>
        <w:rPr>
          <w:rFonts w:ascii="Calibri" w:hAnsi="Calibri"/>
          <w:sz w:val="22"/>
          <w:szCs w:val="22"/>
        </w:rPr>
      </w:pPr>
      <w:bookmarkStart w:id="29"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9"/>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30" w:name="_Toc383117528"/>
      <w:r>
        <w:rPr>
          <w:szCs w:val="22"/>
        </w:rPr>
        <w:t>ZÁVĚREČNÁ UJEDNÁNÍ</w:t>
      </w:r>
      <w:bookmarkEnd w:id="30"/>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Bidi"/>
          <w:b/>
          <w:bCs/>
          <w:sz w:val="22"/>
          <w:szCs w:val="22"/>
        </w:rPr>
      </w:pPr>
      <w:r>
        <w:rPr>
          <w:rFonts w:asciiTheme="minorHAnsi" w:hAnsiTheme="minorHAnsi" w:cstheme="minorBidi"/>
          <w:b/>
          <w:bCs/>
          <w:sz w:val="22"/>
          <w:szCs w:val="22"/>
        </w:rPr>
        <w:t>Doložka</w:t>
      </w:r>
    </w:p>
    <w:p>
      <w:pPr>
        <w:pStyle w:val="Zhlav"/>
        <w:spacing w:line="276" w:lineRule="auto"/>
        <w:rPr>
          <w:rFonts w:asciiTheme="minorHAnsi" w:hAnsiTheme="minorHAnsi" w:cstheme="minorHAnsi"/>
          <w:sz w:val="22"/>
          <w:szCs w:val="22"/>
        </w:rPr>
      </w:pPr>
      <w:bookmarkStart w:id="31" w:name="_Hlk203481906"/>
      <w:r>
        <w:rPr>
          <w:rFonts w:asciiTheme="minorHAnsi" w:hAnsiTheme="minorHAnsi" w:cstheme="minorBidi"/>
          <w:sz w:val="22"/>
          <w:szCs w:val="22"/>
        </w:rPr>
        <w:t>Tato Smlouva byla uzavřena v souladu se Směrnicí č. 1/2025, o zadávání veřejných zakázek, schválenou Radou města Žďár nad Sázavou usnesením č. 3720/2025/SRI/RM dne 21.07.2025.</w:t>
      </w:r>
      <w:bookmarkEnd w:id="31"/>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2" w:name="_Ref383095347"/>
      <w:bookmarkStart w:id="33"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2"/>
      <w:r>
        <w:rPr>
          <w:rFonts w:ascii="Calibri" w:hAnsi="Calibri"/>
          <w:sz w:val="22"/>
          <w:szCs w:val="22"/>
        </w:rPr>
        <w:t>Projektová dokumentace</w:t>
      </w:r>
      <w:bookmarkEnd w:id="33"/>
    </w:p>
    <w:p>
      <w:pPr>
        <w:pStyle w:val="Odstavecseseznamem"/>
        <w:keepNext/>
        <w:numPr>
          <w:ilvl w:val="0"/>
          <w:numId w:val="8"/>
        </w:numPr>
        <w:ind w:left="567" w:hanging="567"/>
        <w:jc w:val="both"/>
        <w:rPr>
          <w:rFonts w:ascii="Calibri" w:hAnsi="Calibri"/>
          <w:sz w:val="22"/>
          <w:szCs w:val="22"/>
        </w:rPr>
      </w:pPr>
      <w:bookmarkStart w:id="34" w:name="_Ref434937891"/>
      <w:bookmarkStart w:id="35"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4"/>
      <w:bookmarkEnd w:id="35"/>
    </w:p>
    <w:p>
      <w:pPr>
        <w:pStyle w:val="Odstavecseseznamem"/>
        <w:keepNext/>
        <w:ind w:left="567"/>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jc w:val="both"/>
        <w:rPr>
          <w:rFonts w:ascii="Calibri" w:hAnsi="Calibri"/>
          <w:b/>
          <w:bCs/>
          <w:sz w:val="22"/>
          <w:szCs w:val="22"/>
        </w:rPr>
      </w:pP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rPr>
      </w:pPr>
      <w:r>
        <w:rPr>
          <w:rFonts w:asciiTheme="minorHAnsi" w:hAnsiTheme="minorHAnsi"/>
          <w:b/>
          <w:i/>
          <w:sz w:val="22"/>
          <w:szCs w:val="22"/>
        </w:rPr>
        <w:t>Informace pro účastníky:</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rPr>
      </w:pPr>
      <w:r>
        <w:rPr>
          <w:rFonts w:asciiTheme="minorHAnsi" w:hAnsiTheme="minorHAnsi"/>
          <w:b/>
          <w:i/>
          <w:sz w:val="22"/>
          <w:szCs w:val="22"/>
        </w:rPr>
        <w:t>Informace pro účastníky:</w:t>
      </w:r>
    </w:p>
    <w:p>
      <w:pPr>
        <w:suppressAutoHyphens/>
        <w:rPr>
          <w:rFonts w:asciiTheme="minorHAnsi" w:hAnsiTheme="minorHAnsi"/>
          <w:b/>
          <w:i/>
          <w:sz w:val="22"/>
          <w:szCs w:val="22"/>
        </w:rPr>
      </w:pPr>
    </w:p>
    <w:p>
      <w:pPr>
        <w:suppressAutoHyphens/>
        <w:jc w:val="both"/>
        <w:rPr>
          <w:rFonts w:asciiTheme="minorHAnsi" w:hAnsiTheme="minorHAnsi"/>
          <w:i/>
          <w:sz w:val="22"/>
          <w:szCs w:val="22"/>
        </w:rPr>
      </w:pPr>
      <w:r>
        <w:rPr>
          <w:rFonts w:asciiTheme="minorHAnsi" w:hAnsiTheme="minorHAnsi"/>
          <w:i/>
          <w:sz w:val="22"/>
          <w:szCs w:val="22"/>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t>Účastník ocení soupis stavebních prací, dodávek a služeb s výkazem výměr (dále jen „</w:t>
      </w:r>
      <w:r>
        <w:rPr>
          <w:rFonts w:asciiTheme="minorHAnsi" w:hAnsiTheme="minorHAnsi"/>
          <w:b/>
          <w:i/>
          <w:sz w:val="22"/>
          <w:szCs w:val="22"/>
        </w:rPr>
        <w:t>Soupis prací</w:t>
      </w:r>
      <w:r>
        <w:rPr>
          <w:rFonts w:asciiTheme="minorHAnsi" w:hAnsiTheme="minorHAnsi"/>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Calibri" w:hAnsi="Calibri"/>
          <w:b/>
          <w:bCs/>
          <w:sz w:val="22"/>
          <w:szCs w:val="22"/>
        </w:rPr>
      </w:pPr>
    </w:p>
    <w:sectPr>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18</w:t>
        </w:r>
        <w:r>
          <w:rPr>
            <w:rFonts w:asciiTheme="minorHAnsi" w:hAnsiTheme="minorHAnsi" w:cstheme="minorHAnsi"/>
          </w:rPr>
          <w:fldChar w:fldCharType="end"/>
        </w:r>
      </w:p>
    </w:sdtContent>
  </w:sdt>
  <w:p>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right"/>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297303333">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novanidrevin.natur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18</Pages>
  <Words>6671</Words>
  <Characters>39364</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97</cp:revision>
  <cp:lastPrinted>2022-07-14T18:38:00Z</cp:lastPrinted>
  <dcterms:created xsi:type="dcterms:W3CDTF">2023-08-30T16:03:00Z</dcterms:created>
  <dcterms:modified xsi:type="dcterms:W3CDTF">2026-04-10T05:59:00Z</dcterms:modified>
</cp:coreProperties>
</file>